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0DEEDC" w14:textId="7824CFFC" w:rsidR="00273D03" w:rsidRPr="004448C4" w:rsidRDefault="00273D03" w:rsidP="00273D03">
      <w:pPr>
        <w:spacing w:before="30" w:after="30"/>
        <w:jc w:val="both"/>
        <w:rPr>
          <w:rFonts w:ascii="Times New Roman" w:hAnsi="Times New Roman"/>
          <w:color w:val="000000"/>
          <w:sz w:val="24"/>
          <w:szCs w:val="24"/>
          <w:lang w:val="pt-BR"/>
        </w:rPr>
      </w:pPr>
      <w:r w:rsidRPr="004448C4">
        <w:rPr>
          <w:rFonts w:ascii="Times New Roman" w:hAnsi="Times New Roman"/>
          <w:b/>
          <w:bCs/>
          <w:color w:val="000000"/>
          <w:sz w:val="24"/>
          <w:szCs w:val="24"/>
          <w:lang w:val="pt-BR"/>
        </w:rPr>
        <w:t>ANÁLISE ANATÔMICA E ULTRA ESTRUTURAL FOLIAR DE ESPECIES DE FABACEAE LINDL. E SUA IMPLICAÇÃO TAXONÔMICA</w:t>
      </w:r>
    </w:p>
    <w:p w14:paraId="2BBAF543" w14:textId="1C916CC7" w:rsidR="00801B8F" w:rsidRPr="004448C4" w:rsidRDefault="00801B8F" w:rsidP="00D516CB">
      <w:pPr>
        <w:spacing w:after="0" w:line="240" w:lineRule="auto"/>
        <w:jc w:val="center"/>
        <w:rPr>
          <w:rFonts w:ascii="Times New Roman" w:eastAsia="Arial" w:hAnsi="Times New Roman"/>
          <w:b/>
          <w:sz w:val="24"/>
          <w:szCs w:val="24"/>
          <w:lang w:val="pt-BR"/>
        </w:rPr>
      </w:pPr>
    </w:p>
    <w:p w14:paraId="5D172590"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Luiz Fernando Lima Carvalho</w:t>
      </w:r>
    </w:p>
    <w:p w14:paraId="5C08F807"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Bolsista PIBIC/FAPEMA</w:t>
      </w:r>
    </w:p>
    <w:p w14:paraId="5F2001E7"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Acadêmica do Curso de Ciências Biológicas - CCENT/UEMASUL</w:t>
      </w:r>
    </w:p>
    <w:p w14:paraId="69F5E131" w14:textId="30782464"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e-mai</w:t>
      </w:r>
      <w:r w:rsidRPr="00692C5A">
        <w:rPr>
          <w:rFonts w:ascii="Times New Roman" w:hAnsi="Times New Roman"/>
          <w:b/>
          <w:bCs/>
          <w:color w:val="000000" w:themeColor="text1"/>
          <w:sz w:val="24"/>
          <w:szCs w:val="24"/>
          <w:lang w:val="pt-BR"/>
        </w:rPr>
        <w:t xml:space="preserve">l: </w:t>
      </w:r>
      <w:hyperlink r:id="rId8" w:history="1">
        <w:r w:rsidR="00692C5A" w:rsidRPr="00692C5A">
          <w:rPr>
            <w:rStyle w:val="Hyperlink"/>
            <w:rFonts w:ascii="Times New Roman" w:hAnsi="Times New Roman"/>
            <w:b/>
            <w:bCs/>
            <w:color w:val="000000" w:themeColor="text1"/>
            <w:sz w:val="24"/>
            <w:szCs w:val="24"/>
            <w:u w:val="none"/>
            <w:lang w:val="pt-BR"/>
          </w:rPr>
          <w:t>luizflimacarvalho@gmail.com</w:t>
        </w:r>
      </w:hyperlink>
    </w:p>
    <w:p w14:paraId="06ECAEF2" w14:textId="77777777" w:rsidR="006B702C" w:rsidRPr="004448C4" w:rsidRDefault="006B702C" w:rsidP="006B702C">
      <w:pPr>
        <w:spacing w:after="0"/>
        <w:jc w:val="right"/>
        <w:rPr>
          <w:rFonts w:ascii="Times New Roman" w:hAnsi="Times New Roman"/>
          <w:b/>
          <w:bCs/>
          <w:sz w:val="24"/>
          <w:szCs w:val="24"/>
          <w:lang w:val="pt-BR"/>
        </w:rPr>
      </w:pPr>
    </w:p>
    <w:p w14:paraId="18CD12AF"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Prof.ª Dr.ª Niara Moura Porto</w:t>
      </w:r>
    </w:p>
    <w:p w14:paraId="0E527D0C"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Centro de Ciências Exatas, Naturais e Tecnológicas –CCENT/UEMASUL</w:t>
      </w:r>
    </w:p>
    <w:p w14:paraId="0D93F50D" w14:textId="592E8ED4"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 xml:space="preserve">e-mail: </w:t>
      </w:r>
      <w:hyperlink r:id="rId9" w:history="1">
        <w:r w:rsidRPr="004448C4">
          <w:rPr>
            <w:rStyle w:val="Hyperlink"/>
            <w:rFonts w:ascii="Times New Roman" w:hAnsi="Times New Roman"/>
            <w:b/>
            <w:bCs/>
            <w:color w:val="auto"/>
            <w:sz w:val="24"/>
            <w:szCs w:val="24"/>
            <w:u w:val="none"/>
            <w:lang w:val="pt-BR"/>
          </w:rPr>
          <w:t>niaraporto@uemasul.edu.br</w:t>
        </w:r>
      </w:hyperlink>
    </w:p>
    <w:p w14:paraId="6A20AD4F" w14:textId="77777777" w:rsidR="006B702C" w:rsidRPr="004448C4" w:rsidRDefault="006B702C" w:rsidP="006B702C">
      <w:pPr>
        <w:spacing w:after="0"/>
        <w:jc w:val="right"/>
        <w:rPr>
          <w:rFonts w:ascii="Times New Roman" w:hAnsi="Times New Roman"/>
          <w:b/>
          <w:bCs/>
          <w:sz w:val="24"/>
          <w:szCs w:val="24"/>
          <w:lang w:val="pt-BR"/>
        </w:rPr>
      </w:pPr>
    </w:p>
    <w:p w14:paraId="002CB657" w14:textId="77777777"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 xml:space="preserve">Grande Área: Ciências Biológicas </w:t>
      </w:r>
    </w:p>
    <w:p w14:paraId="2F9F9178" w14:textId="0EACED06" w:rsidR="006B702C" w:rsidRPr="004448C4" w:rsidRDefault="006B702C" w:rsidP="006B702C">
      <w:pPr>
        <w:spacing w:after="0"/>
        <w:jc w:val="right"/>
        <w:rPr>
          <w:rFonts w:ascii="Times New Roman" w:hAnsi="Times New Roman"/>
          <w:b/>
          <w:bCs/>
          <w:sz w:val="24"/>
          <w:szCs w:val="24"/>
          <w:lang w:val="pt-BR"/>
        </w:rPr>
      </w:pPr>
      <w:r w:rsidRPr="004448C4">
        <w:rPr>
          <w:rFonts w:ascii="Times New Roman" w:hAnsi="Times New Roman"/>
          <w:b/>
          <w:bCs/>
          <w:sz w:val="24"/>
          <w:szCs w:val="24"/>
          <w:lang w:val="pt-BR"/>
        </w:rPr>
        <w:t>Área: Ciências Biológicas I</w:t>
      </w:r>
    </w:p>
    <w:p w14:paraId="1B0DBEF2" w14:textId="77777777" w:rsidR="004448C4" w:rsidRPr="004448C4" w:rsidRDefault="004448C4" w:rsidP="006B702C">
      <w:pPr>
        <w:spacing w:after="0"/>
        <w:jc w:val="right"/>
        <w:rPr>
          <w:rFonts w:ascii="Times New Roman" w:hAnsi="Times New Roman"/>
          <w:b/>
          <w:bCs/>
          <w:sz w:val="24"/>
          <w:szCs w:val="24"/>
          <w:lang w:val="pt-BR"/>
        </w:rPr>
      </w:pPr>
    </w:p>
    <w:p w14:paraId="2E6B852F" w14:textId="7811E31D" w:rsidR="000C30EE" w:rsidRPr="004448C4" w:rsidRDefault="000C30EE" w:rsidP="004448C4">
      <w:pPr>
        <w:spacing w:after="0" w:line="240" w:lineRule="auto"/>
        <w:jc w:val="both"/>
        <w:rPr>
          <w:rFonts w:ascii="Times New Roman" w:eastAsia="Arial" w:hAnsi="Times New Roman"/>
          <w:color w:val="C00000"/>
          <w:sz w:val="24"/>
          <w:szCs w:val="24"/>
          <w:lang w:val="pt-BR"/>
        </w:rPr>
      </w:pPr>
      <w:r w:rsidRPr="004448C4">
        <w:rPr>
          <w:rFonts w:ascii="Times New Roman" w:eastAsia="Arial" w:hAnsi="Times New Roman"/>
          <w:b/>
          <w:bCs/>
          <w:color w:val="C00000"/>
          <w:sz w:val="24"/>
          <w:szCs w:val="24"/>
          <w:lang w:val="pt-BR"/>
        </w:rPr>
        <w:t>Resumo</w:t>
      </w:r>
      <w:r w:rsidR="004448C4" w:rsidRPr="004448C4">
        <w:rPr>
          <w:rFonts w:ascii="Times New Roman" w:eastAsia="Arial" w:hAnsi="Times New Roman"/>
          <w:color w:val="C00000"/>
          <w:sz w:val="24"/>
          <w:szCs w:val="24"/>
          <w:lang w:val="pt-BR"/>
        </w:rPr>
        <w:t xml:space="preserve"> </w:t>
      </w:r>
      <w:r w:rsidR="004448C4" w:rsidRPr="004448C4">
        <w:rPr>
          <w:rFonts w:ascii="Times New Roman" w:eastAsia="Times New Roman" w:hAnsi="Times New Roman"/>
          <w:color w:val="000000"/>
          <w:sz w:val="24"/>
          <w:szCs w:val="24"/>
          <w:lang w:val="pt-BR" w:eastAsia="pt-BR"/>
        </w:rPr>
        <w:t xml:space="preserve">O presente trabalho teve como objetivo a análise epidérmica foliar de espécies de Fabaceae ocorrentes na reserva do Ciriaco, </w:t>
      </w:r>
      <w:r w:rsidR="004448C4" w:rsidRPr="004448C4">
        <w:rPr>
          <w:rFonts w:ascii="Times New Roman" w:eastAsia="Times New Roman" w:hAnsi="Times New Roman"/>
          <w:iCs/>
          <w:color w:val="000000"/>
          <w:sz w:val="24"/>
          <w:szCs w:val="24"/>
          <w:lang w:val="pt-BR" w:eastAsia="pt-BR"/>
        </w:rPr>
        <w:t xml:space="preserve">visando descrever caracteres úteis para a identificação e delimitações de espécies de modo a oferecer subsídios a taxonomia. As amostras vegetais foram coletadas na Reserva Extrativista do Ciriaco, Maranhão, onde foram analisadas nove </w:t>
      </w:r>
      <w:r w:rsidR="004448C4" w:rsidRPr="004448C4">
        <w:rPr>
          <w:rFonts w:ascii="Times New Roman" w:eastAsia="Times New Roman" w:hAnsi="Times New Roman"/>
          <w:color w:val="000000"/>
          <w:sz w:val="24"/>
          <w:szCs w:val="24"/>
          <w:lang w:val="pt-BR" w:eastAsia="pt-BR"/>
        </w:rPr>
        <w:t>espécies pertencentes a três subfamílias: 1. Caesalpinioideae (cinco espécies), 2. Detarioideae (</w:t>
      </w:r>
      <w:r w:rsidR="004448C4" w:rsidRPr="004448C4">
        <w:rPr>
          <w:rFonts w:ascii="Times New Roman" w:eastAsia="Times New Roman" w:hAnsi="Times New Roman"/>
          <w:iCs/>
          <w:color w:val="000000"/>
          <w:sz w:val="24"/>
          <w:szCs w:val="24"/>
          <w:lang w:val="pt-BR" w:eastAsia="pt-BR"/>
        </w:rPr>
        <w:t>duas espécies</w:t>
      </w:r>
      <w:r w:rsidR="004448C4" w:rsidRPr="004448C4">
        <w:rPr>
          <w:rFonts w:ascii="Times New Roman" w:eastAsia="Times New Roman" w:hAnsi="Times New Roman"/>
          <w:color w:val="000000"/>
          <w:sz w:val="24"/>
          <w:szCs w:val="24"/>
          <w:lang w:val="pt-BR" w:eastAsia="pt-BR"/>
        </w:rPr>
        <w:t>) e 3. Papilionoideae (</w:t>
      </w:r>
      <w:r w:rsidR="004448C4" w:rsidRPr="004448C4">
        <w:rPr>
          <w:rFonts w:ascii="Times New Roman" w:eastAsia="Times New Roman" w:hAnsi="Times New Roman"/>
          <w:iCs/>
          <w:color w:val="000000"/>
          <w:sz w:val="24"/>
          <w:szCs w:val="24"/>
          <w:lang w:val="pt-BR" w:eastAsia="pt-BR"/>
        </w:rPr>
        <w:t>duas espécies</w:t>
      </w:r>
      <w:r w:rsidR="004448C4" w:rsidRPr="004448C4">
        <w:rPr>
          <w:rFonts w:ascii="Times New Roman" w:eastAsia="Times New Roman" w:hAnsi="Times New Roman"/>
          <w:color w:val="000000"/>
          <w:sz w:val="24"/>
          <w:szCs w:val="24"/>
          <w:lang w:val="pt-BR" w:eastAsia="pt-BR"/>
        </w:rPr>
        <w:t>).</w:t>
      </w:r>
      <w:r w:rsidR="004448C4" w:rsidRPr="004448C4">
        <w:rPr>
          <w:rFonts w:ascii="Times New Roman" w:eastAsia="Times New Roman" w:hAnsi="Times New Roman"/>
          <w:iCs/>
          <w:color w:val="000000"/>
          <w:sz w:val="24"/>
          <w:szCs w:val="24"/>
          <w:lang w:val="pt-BR" w:eastAsia="pt-BR"/>
        </w:rPr>
        <w:t xml:space="preserve"> Para a análise da epiderme foi realizado o processo de diafanização (ácido acético/ peróxido de hidrogênio 1:1)</w:t>
      </w:r>
      <w:r w:rsidR="004448C4" w:rsidRPr="004448C4">
        <w:rPr>
          <w:rFonts w:ascii="Times New Roman" w:eastAsia="Times New Roman" w:hAnsi="Times New Roman"/>
          <w:color w:val="000000"/>
          <w:sz w:val="24"/>
          <w:szCs w:val="24"/>
          <w:lang w:val="pt-BR" w:eastAsia="pt-BR"/>
        </w:rPr>
        <w:t xml:space="preserve"> e coradas com safranina.</w:t>
      </w:r>
      <w:r w:rsidR="004448C4" w:rsidRPr="004448C4">
        <w:rPr>
          <w:rFonts w:ascii="Times New Roman" w:eastAsia="Times New Roman" w:hAnsi="Times New Roman"/>
          <w:iCs/>
          <w:color w:val="000000"/>
          <w:sz w:val="24"/>
          <w:szCs w:val="24"/>
          <w:lang w:val="pt-BR" w:eastAsia="pt-BR"/>
        </w:rPr>
        <w:t xml:space="preserve"> Secções transversais feitas a mão livre. Em vista frontal, os estômatos em sua maioria são hipoestomático, contudo as espécies: </w:t>
      </w:r>
      <w:proofErr w:type="spellStart"/>
      <w:r w:rsidR="004448C4" w:rsidRPr="004448C4">
        <w:rPr>
          <w:rFonts w:ascii="Times New Roman" w:eastAsia="Times New Roman" w:hAnsi="Times New Roman"/>
          <w:bCs/>
          <w:i/>
          <w:iCs/>
          <w:color w:val="000000"/>
          <w:sz w:val="24"/>
          <w:szCs w:val="24"/>
          <w:lang w:val="pt-BR" w:eastAsia="pt-BR"/>
        </w:rPr>
        <w:t>Macrolobium</w:t>
      </w:r>
      <w:proofErr w:type="spellEnd"/>
      <w:r w:rsidR="004448C4" w:rsidRPr="004448C4">
        <w:rPr>
          <w:rFonts w:ascii="Times New Roman" w:eastAsia="Times New Roman" w:hAnsi="Times New Roman"/>
          <w:bCs/>
          <w:i/>
          <w:iCs/>
          <w:color w:val="000000"/>
          <w:sz w:val="24"/>
          <w:szCs w:val="24"/>
          <w:lang w:val="pt-BR" w:eastAsia="pt-BR"/>
        </w:rPr>
        <w:t xml:space="preserve"> </w:t>
      </w:r>
      <w:proofErr w:type="spellStart"/>
      <w:r w:rsidR="004448C4" w:rsidRPr="004448C4">
        <w:rPr>
          <w:rFonts w:ascii="Times New Roman" w:eastAsia="Times New Roman" w:hAnsi="Times New Roman"/>
          <w:bCs/>
          <w:i/>
          <w:iCs/>
          <w:color w:val="000000"/>
          <w:sz w:val="24"/>
          <w:szCs w:val="24"/>
          <w:lang w:val="pt-BR" w:eastAsia="pt-BR"/>
        </w:rPr>
        <w:t>acaciifolium</w:t>
      </w:r>
      <w:proofErr w:type="spellEnd"/>
      <w:r w:rsidR="004448C4" w:rsidRPr="004448C4">
        <w:rPr>
          <w:rFonts w:ascii="Times New Roman" w:eastAsia="Times New Roman" w:hAnsi="Times New Roman"/>
          <w:bCs/>
          <w:color w:val="000000"/>
          <w:sz w:val="24"/>
          <w:szCs w:val="24"/>
          <w:lang w:val="pt-BR" w:eastAsia="pt-BR"/>
        </w:rPr>
        <w:t xml:space="preserve"> (</w:t>
      </w:r>
      <w:proofErr w:type="spellStart"/>
      <w:r w:rsidR="004448C4" w:rsidRPr="004448C4">
        <w:rPr>
          <w:rFonts w:ascii="Times New Roman" w:eastAsia="Times New Roman" w:hAnsi="Times New Roman"/>
          <w:bCs/>
          <w:color w:val="000000"/>
          <w:sz w:val="24"/>
          <w:szCs w:val="24"/>
          <w:lang w:val="pt-BR" w:eastAsia="pt-BR"/>
        </w:rPr>
        <w:t>Benth</w:t>
      </w:r>
      <w:proofErr w:type="spellEnd"/>
      <w:r w:rsidR="004448C4" w:rsidRPr="004448C4">
        <w:rPr>
          <w:rFonts w:ascii="Times New Roman" w:eastAsia="Times New Roman" w:hAnsi="Times New Roman"/>
          <w:bCs/>
          <w:color w:val="000000"/>
          <w:sz w:val="24"/>
          <w:szCs w:val="24"/>
          <w:lang w:val="pt-BR" w:eastAsia="pt-BR"/>
        </w:rPr>
        <w:t xml:space="preserve">.) </w:t>
      </w:r>
      <w:proofErr w:type="spellStart"/>
      <w:r w:rsidR="004448C4" w:rsidRPr="004448C4">
        <w:rPr>
          <w:rFonts w:ascii="Times New Roman" w:eastAsia="Times New Roman" w:hAnsi="Times New Roman"/>
          <w:bCs/>
          <w:color w:val="000000"/>
          <w:sz w:val="24"/>
          <w:szCs w:val="24"/>
          <w:lang w:val="pt-BR" w:eastAsia="pt-BR"/>
        </w:rPr>
        <w:t>Benth</w:t>
      </w:r>
      <w:proofErr w:type="spellEnd"/>
      <w:r w:rsidR="004448C4" w:rsidRPr="004448C4">
        <w:rPr>
          <w:rFonts w:ascii="Times New Roman" w:eastAsia="Times New Roman" w:hAnsi="Times New Roman"/>
          <w:bCs/>
          <w:i/>
          <w:iCs/>
          <w:color w:val="000000"/>
          <w:sz w:val="24"/>
          <w:szCs w:val="24"/>
          <w:lang w:val="pt-BR" w:eastAsia="pt-BR"/>
        </w:rPr>
        <w:t>.</w:t>
      </w:r>
      <w:r w:rsidR="004448C4" w:rsidRPr="004448C4">
        <w:rPr>
          <w:rFonts w:ascii="Times New Roman" w:eastAsia="Times New Roman" w:hAnsi="Times New Roman"/>
          <w:iCs/>
          <w:color w:val="000000"/>
          <w:sz w:val="24"/>
          <w:szCs w:val="24"/>
          <w:lang w:val="pt-BR" w:eastAsia="pt-BR"/>
        </w:rPr>
        <w:t>,</w:t>
      </w:r>
      <w:r w:rsidR="004448C4" w:rsidRPr="004448C4">
        <w:rPr>
          <w:rFonts w:ascii="Times New Roman" w:eastAsia="Times New Roman" w:hAnsi="Times New Roman"/>
          <w:i/>
          <w:iCs/>
          <w:color w:val="000000"/>
          <w:sz w:val="24"/>
          <w:szCs w:val="24"/>
          <w:lang w:val="pt-BR" w:eastAsia="pt-BR"/>
        </w:rPr>
        <w:t xml:space="preserve"> </w:t>
      </w:r>
      <w:proofErr w:type="spellStart"/>
      <w:r w:rsidR="004448C4" w:rsidRPr="004448C4">
        <w:rPr>
          <w:rFonts w:ascii="Times New Roman" w:eastAsia="Times New Roman" w:hAnsi="Times New Roman"/>
          <w:i/>
          <w:iCs/>
          <w:color w:val="000000"/>
          <w:sz w:val="24"/>
          <w:szCs w:val="24"/>
          <w:lang w:val="pt-BR" w:eastAsia="pt-BR"/>
        </w:rPr>
        <w:t>Melilotus</w:t>
      </w:r>
      <w:proofErr w:type="spellEnd"/>
      <w:r w:rsidR="004448C4" w:rsidRPr="004448C4">
        <w:rPr>
          <w:rFonts w:ascii="Times New Roman" w:eastAsia="Times New Roman" w:hAnsi="Times New Roman"/>
          <w:i/>
          <w:iCs/>
          <w:color w:val="000000"/>
          <w:sz w:val="24"/>
          <w:szCs w:val="24"/>
          <w:lang w:val="pt-BR" w:eastAsia="pt-BR"/>
        </w:rPr>
        <w:t xml:space="preserve"> </w:t>
      </w:r>
      <w:proofErr w:type="spellStart"/>
      <w:r w:rsidR="004448C4" w:rsidRPr="004448C4">
        <w:rPr>
          <w:rFonts w:ascii="Times New Roman" w:eastAsia="Times New Roman" w:hAnsi="Times New Roman"/>
          <w:i/>
          <w:iCs/>
          <w:color w:val="000000"/>
          <w:sz w:val="24"/>
          <w:szCs w:val="24"/>
          <w:lang w:val="pt-BR" w:eastAsia="pt-BR"/>
        </w:rPr>
        <w:t>officialis</w:t>
      </w:r>
      <w:proofErr w:type="spellEnd"/>
      <w:r w:rsidR="004448C4" w:rsidRPr="004448C4">
        <w:rPr>
          <w:rFonts w:ascii="Times New Roman" w:eastAsia="Times New Roman" w:hAnsi="Times New Roman"/>
          <w:i/>
          <w:iCs/>
          <w:color w:val="000000"/>
          <w:sz w:val="24"/>
          <w:szCs w:val="24"/>
          <w:lang w:val="pt-BR" w:eastAsia="pt-BR"/>
        </w:rPr>
        <w:t xml:space="preserve"> </w:t>
      </w:r>
      <w:r w:rsidR="004448C4" w:rsidRPr="004448C4">
        <w:rPr>
          <w:rFonts w:ascii="Times New Roman" w:eastAsia="Times New Roman" w:hAnsi="Times New Roman"/>
          <w:color w:val="000000"/>
          <w:sz w:val="24"/>
          <w:szCs w:val="24"/>
          <w:lang w:val="pt-BR" w:eastAsia="pt-BR"/>
        </w:rPr>
        <w:t>e</w:t>
      </w:r>
      <w:r w:rsidR="004448C4" w:rsidRPr="004448C4">
        <w:rPr>
          <w:rFonts w:ascii="Times New Roman" w:eastAsia="Times New Roman" w:hAnsi="Times New Roman"/>
          <w:bCs/>
          <w:color w:val="000000"/>
          <w:sz w:val="24"/>
          <w:szCs w:val="24"/>
          <w:lang w:val="pt-BR" w:eastAsia="pt-BR"/>
        </w:rPr>
        <w:t xml:space="preserve"> </w:t>
      </w:r>
      <w:proofErr w:type="spellStart"/>
      <w:r w:rsidR="004448C4" w:rsidRPr="004448C4">
        <w:rPr>
          <w:rFonts w:ascii="Times New Roman" w:eastAsia="Times New Roman" w:hAnsi="Times New Roman"/>
          <w:bCs/>
          <w:i/>
          <w:iCs/>
          <w:color w:val="000000"/>
          <w:sz w:val="24"/>
          <w:szCs w:val="24"/>
          <w:lang w:val="pt-BR" w:eastAsia="pt-BR"/>
        </w:rPr>
        <w:t>Bauhinia</w:t>
      </w:r>
      <w:proofErr w:type="spellEnd"/>
      <w:r w:rsidR="004448C4" w:rsidRPr="004448C4">
        <w:rPr>
          <w:rFonts w:ascii="Times New Roman" w:eastAsia="Times New Roman" w:hAnsi="Times New Roman"/>
          <w:bCs/>
          <w:i/>
          <w:iCs/>
          <w:color w:val="000000"/>
          <w:sz w:val="24"/>
          <w:szCs w:val="24"/>
          <w:lang w:val="pt-BR" w:eastAsia="pt-BR"/>
        </w:rPr>
        <w:t> </w:t>
      </w:r>
      <w:proofErr w:type="spellStart"/>
      <w:r w:rsidR="004448C4" w:rsidRPr="004448C4">
        <w:rPr>
          <w:rFonts w:ascii="Times New Roman" w:eastAsia="Times New Roman" w:hAnsi="Times New Roman"/>
          <w:bCs/>
          <w:i/>
          <w:iCs/>
          <w:color w:val="000000"/>
          <w:sz w:val="24"/>
          <w:szCs w:val="24"/>
          <w:lang w:val="pt-BR" w:eastAsia="pt-BR"/>
        </w:rPr>
        <w:t>Forficata</w:t>
      </w:r>
      <w:proofErr w:type="spellEnd"/>
      <w:r w:rsidR="004448C4" w:rsidRPr="004448C4">
        <w:rPr>
          <w:rFonts w:ascii="Times New Roman" w:eastAsia="Times New Roman" w:hAnsi="Times New Roman"/>
          <w:bCs/>
          <w:color w:val="000000"/>
          <w:sz w:val="24"/>
          <w:szCs w:val="24"/>
          <w:lang w:val="pt-BR" w:eastAsia="pt-BR"/>
        </w:rPr>
        <w:t> Link</w:t>
      </w:r>
      <w:r w:rsidR="004448C4" w:rsidRPr="004448C4">
        <w:rPr>
          <w:rFonts w:ascii="Times New Roman" w:eastAsia="Times New Roman" w:hAnsi="Times New Roman"/>
          <w:bCs/>
          <w:i/>
          <w:iCs/>
          <w:color w:val="000000"/>
          <w:sz w:val="24"/>
          <w:szCs w:val="24"/>
          <w:lang w:val="pt-BR" w:eastAsia="pt-BR"/>
        </w:rPr>
        <w:t>.</w:t>
      </w:r>
      <w:r w:rsidR="004448C4" w:rsidRPr="004448C4">
        <w:rPr>
          <w:rFonts w:ascii="Times New Roman" w:eastAsia="Times New Roman" w:hAnsi="Times New Roman"/>
          <w:iCs/>
          <w:color w:val="000000"/>
          <w:sz w:val="24"/>
          <w:szCs w:val="24"/>
          <w:lang w:val="pt-BR" w:eastAsia="pt-BR"/>
        </w:rPr>
        <w:t xml:space="preserve"> são </w:t>
      </w:r>
      <w:proofErr w:type="spellStart"/>
      <w:r w:rsidR="004448C4" w:rsidRPr="004448C4">
        <w:rPr>
          <w:rFonts w:ascii="Times New Roman" w:eastAsia="Times New Roman" w:hAnsi="Times New Roman"/>
          <w:iCs/>
          <w:color w:val="000000"/>
          <w:sz w:val="24"/>
          <w:szCs w:val="24"/>
          <w:lang w:val="pt-BR" w:eastAsia="pt-BR"/>
        </w:rPr>
        <w:t>anfiestomáticas</w:t>
      </w:r>
      <w:proofErr w:type="spellEnd"/>
      <w:r w:rsidR="004448C4" w:rsidRPr="004448C4">
        <w:rPr>
          <w:rFonts w:ascii="Times New Roman" w:eastAsia="Times New Roman" w:hAnsi="Times New Roman"/>
          <w:iCs/>
          <w:color w:val="000000"/>
          <w:sz w:val="24"/>
          <w:szCs w:val="24"/>
          <w:lang w:val="pt-BR" w:eastAsia="pt-BR"/>
        </w:rPr>
        <w:t>. Há predominância de estômatos do tipo paracíticos.</w:t>
      </w:r>
    </w:p>
    <w:p w14:paraId="7DC6F374" w14:textId="3BC3AFDA" w:rsidR="000C30EE" w:rsidRDefault="000C30EE" w:rsidP="00571FC1">
      <w:pPr>
        <w:spacing w:after="0" w:line="240" w:lineRule="auto"/>
        <w:jc w:val="both"/>
        <w:rPr>
          <w:rFonts w:ascii="Times New Roman" w:eastAsia="Arial" w:hAnsi="Times New Roman"/>
          <w:sz w:val="24"/>
          <w:szCs w:val="24"/>
          <w:lang w:val="pt-BR"/>
        </w:rPr>
      </w:pPr>
      <w:r w:rsidRPr="004448C4">
        <w:rPr>
          <w:rFonts w:ascii="Times New Roman" w:eastAsia="Arial" w:hAnsi="Times New Roman"/>
          <w:b/>
          <w:bCs/>
          <w:color w:val="C00000"/>
          <w:sz w:val="24"/>
          <w:szCs w:val="24"/>
          <w:lang w:val="pt-BR"/>
        </w:rPr>
        <w:t>Palavras-chave</w:t>
      </w:r>
      <w:r w:rsidRPr="004448C4">
        <w:rPr>
          <w:rFonts w:ascii="Times New Roman" w:eastAsia="Arial" w:hAnsi="Times New Roman"/>
          <w:b/>
          <w:color w:val="C00000"/>
          <w:sz w:val="24"/>
          <w:szCs w:val="24"/>
          <w:lang w:val="pt-BR"/>
        </w:rPr>
        <w:t>:</w:t>
      </w:r>
      <w:r w:rsidRPr="004448C4">
        <w:rPr>
          <w:rFonts w:ascii="Times New Roman" w:eastAsia="Arial" w:hAnsi="Times New Roman"/>
          <w:color w:val="C00000"/>
          <w:sz w:val="24"/>
          <w:szCs w:val="24"/>
          <w:lang w:val="pt-BR"/>
        </w:rPr>
        <w:t xml:space="preserve"> </w:t>
      </w:r>
      <w:r w:rsidR="004448C4" w:rsidRPr="004448C4">
        <w:rPr>
          <w:rFonts w:ascii="Times New Roman" w:eastAsia="Arial" w:hAnsi="Times New Roman"/>
          <w:sz w:val="24"/>
          <w:szCs w:val="24"/>
          <w:lang w:val="pt-BR"/>
        </w:rPr>
        <w:t>Reserva; Espécies;</w:t>
      </w:r>
      <w:r w:rsidR="004448C4">
        <w:rPr>
          <w:rFonts w:ascii="Times New Roman" w:eastAsia="Arial" w:hAnsi="Times New Roman"/>
          <w:sz w:val="24"/>
          <w:szCs w:val="24"/>
          <w:lang w:val="pt-BR"/>
        </w:rPr>
        <w:t xml:space="preserve"> Taxonomia.</w:t>
      </w:r>
    </w:p>
    <w:p w14:paraId="41B88EF9" w14:textId="77777777" w:rsidR="004448C4" w:rsidRPr="004448C4" w:rsidRDefault="004448C4" w:rsidP="00571FC1">
      <w:pPr>
        <w:spacing w:after="0" w:line="240" w:lineRule="auto"/>
        <w:jc w:val="both"/>
        <w:rPr>
          <w:rFonts w:ascii="Times New Roman" w:eastAsia="Arial" w:hAnsi="Times New Roman"/>
          <w:sz w:val="24"/>
          <w:szCs w:val="24"/>
          <w:lang w:val="pt-BR"/>
        </w:rPr>
      </w:pPr>
    </w:p>
    <w:p w14:paraId="6770C4F5" w14:textId="51409828" w:rsidR="000C30EE" w:rsidRPr="004448C4" w:rsidRDefault="000C30EE" w:rsidP="009A5CB0">
      <w:pPr>
        <w:spacing w:after="0" w:line="240" w:lineRule="auto"/>
        <w:jc w:val="both"/>
        <w:rPr>
          <w:rFonts w:ascii="Times New Roman" w:hAnsi="Times New Roman"/>
          <w:sz w:val="24"/>
          <w:szCs w:val="24"/>
          <w:lang w:val="pt-BR"/>
        </w:rPr>
      </w:pPr>
      <w:r w:rsidRPr="004448C4">
        <w:rPr>
          <w:rFonts w:ascii="Times New Roman" w:eastAsia="Arial" w:hAnsi="Times New Roman"/>
          <w:b/>
          <w:bCs/>
          <w:color w:val="C00000"/>
          <w:sz w:val="24"/>
          <w:szCs w:val="24"/>
          <w:lang w:val="pt-BR"/>
        </w:rPr>
        <w:t xml:space="preserve">Apoio financeiro: </w:t>
      </w:r>
      <w:r w:rsidR="009A5CB0" w:rsidRPr="004448C4">
        <w:rPr>
          <w:rFonts w:ascii="Times New Roman" w:eastAsia="Arial" w:hAnsi="Times New Roman"/>
          <w:sz w:val="24"/>
          <w:szCs w:val="24"/>
          <w:lang w:val="pt-BR"/>
        </w:rPr>
        <w:t>FAPEMA</w:t>
      </w:r>
      <w:r w:rsidR="00DA4CBA">
        <w:rPr>
          <w:rFonts w:ascii="Times New Roman" w:eastAsia="Arial" w:hAnsi="Times New Roman"/>
          <w:sz w:val="24"/>
          <w:szCs w:val="24"/>
          <w:lang w:val="pt-BR"/>
        </w:rPr>
        <w:t xml:space="preserve">, </w:t>
      </w:r>
      <w:r w:rsidR="00DA4CBA" w:rsidRPr="00DA4CBA">
        <w:rPr>
          <w:rFonts w:ascii="Times New Roman" w:eastAsia="Arial" w:hAnsi="Times New Roman"/>
          <w:sz w:val="24"/>
          <w:szCs w:val="24"/>
          <w:lang w:val="pt-BR"/>
        </w:rPr>
        <w:t>BIC-02459/20</w:t>
      </w:r>
      <w:r w:rsidR="00DA4CBA">
        <w:rPr>
          <w:rFonts w:ascii="Times New Roman" w:eastAsia="Arial" w:hAnsi="Times New Roman"/>
          <w:sz w:val="24"/>
          <w:szCs w:val="24"/>
          <w:lang w:val="pt-BR"/>
        </w:rPr>
        <w:t>.</w:t>
      </w:r>
    </w:p>
    <w:p w14:paraId="0F335CF5" w14:textId="77777777" w:rsidR="000C30EE" w:rsidRPr="004448C4" w:rsidRDefault="000C30EE" w:rsidP="00571FC1">
      <w:pPr>
        <w:spacing w:after="0"/>
        <w:jc w:val="both"/>
        <w:rPr>
          <w:rFonts w:ascii="Times New Roman" w:hAnsi="Times New Roman"/>
          <w:sz w:val="24"/>
          <w:szCs w:val="24"/>
          <w:lang w:val="pt-BR"/>
        </w:rPr>
      </w:pPr>
    </w:p>
    <w:p w14:paraId="11006D1D" w14:textId="6F723199" w:rsidR="0038403D" w:rsidRPr="004448C4" w:rsidRDefault="000770BA" w:rsidP="00571FC1">
      <w:pPr>
        <w:spacing w:after="0" w:line="240" w:lineRule="auto"/>
        <w:jc w:val="both"/>
        <w:rPr>
          <w:rFonts w:ascii="Times New Roman" w:eastAsia="Arial" w:hAnsi="Times New Roman"/>
          <w:b/>
          <w:bCs/>
          <w:sz w:val="24"/>
          <w:szCs w:val="24"/>
          <w:lang w:val="pt-BR"/>
        </w:rPr>
      </w:pPr>
      <w:r w:rsidRPr="004448C4">
        <w:rPr>
          <w:rFonts w:ascii="Times New Roman" w:eastAsia="Arial" w:hAnsi="Times New Roman"/>
          <w:b/>
          <w:bCs/>
          <w:color w:val="C00000"/>
          <w:sz w:val="24"/>
          <w:szCs w:val="24"/>
          <w:lang w:val="pt-BR"/>
        </w:rPr>
        <w:t>Introduç</w:t>
      </w:r>
      <w:r w:rsidR="00681C30" w:rsidRPr="004448C4">
        <w:rPr>
          <w:rFonts w:ascii="Times New Roman" w:eastAsia="Arial" w:hAnsi="Times New Roman"/>
          <w:b/>
          <w:bCs/>
          <w:color w:val="C00000"/>
          <w:sz w:val="24"/>
          <w:szCs w:val="24"/>
          <w:lang w:val="pt-BR"/>
        </w:rPr>
        <w:t>ã</w:t>
      </w:r>
      <w:r w:rsidRPr="004448C4">
        <w:rPr>
          <w:rFonts w:ascii="Times New Roman" w:eastAsia="Arial" w:hAnsi="Times New Roman"/>
          <w:b/>
          <w:bCs/>
          <w:color w:val="C00000"/>
          <w:sz w:val="24"/>
          <w:szCs w:val="24"/>
          <w:lang w:val="pt-BR"/>
        </w:rPr>
        <w:t>o</w:t>
      </w:r>
      <w:r w:rsidR="00695C76" w:rsidRPr="004448C4">
        <w:rPr>
          <w:rFonts w:ascii="Times New Roman" w:eastAsia="Arial" w:hAnsi="Times New Roman"/>
          <w:b/>
          <w:bCs/>
          <w:color w:val="C00000"/>
          <w:sz w:val="24"/>
          <w:szCs w:val="24"/>
          <w:lang w:val="pt-BR"/>
        </w:rPr>
        <w:t xml:space="preserve"> </w:t>
      </w:r>
      <w:r w:rsidR="00DD1E8B" w:rsidRPr="004448C4">
        <w:rPr>
          <w:rFonts w:ascii="Times New Roman" w:eastAsia="Times New Roman" w:hAnsi="Times New Roman"/>
          <w:color w:val="000000"/>
          <w:sz w:val="24"/>
          <w:szCs w:val="24"/>
          <w:lang w:val="pt-BR" w:eastAsia="pt-BR"/>
        </w:rPr>
        <w:t>O estado do Maranhão possui cerca de 23 Unidades de Conservação, compreendendo as leis de Uso Sustentável e Proteção Integral (MASULLO; MAGALHÃES, 2015). Mesmo com grande número de áreas protegidas, o Maranhão possui um alto índice de alteração das paisagens naturais, provocados principalmente por desmatamento indiscriminados e queimadas, tal situação está alicerçada por indicadores sociais e econômicos no Estado (MASULLO; MAGALHÃES, 2015).</w:t>
      </w:r>
      <w:r w:rsidR="00695C76" w:rsidRPr="004448C4">
        <w:rPr>
          <w:rFonts w:ascii="Times New Roman" w:eastAsia="Times New Roman" w:hAnsi="Times New Roman"/>
          <w:color w:val="000000"/>
          <w:sz w:val="24"/>
          <w:szCs w:val="24"/>
          <w:lang w:val="pt-BR" w:eastAsia="pt-BR"/>
        </w:rPr>
        <w:t xml:space="preserve"> </w:t>
      </w:r>
      <w:r w:rsidR="00DD1E8B" w:rsidRPr="004448C4">
        <w:rPr>
          <w:rFonts w:ascii="Times New Roman" w:eastAsia="Times New Roman" w:hAnsi="Times New Roman"/>
          <w:color w:val="000000"/>
          <w:sz w:val="24"/>
          <w:szCs w:val="24"/>
          <w:lang w:val="pt-BR" w:eastAsia="pt-BR"/>
        </w:rPr>
        <w:t xml:space="preserve">A reserva extrativista do Ciriaco está localizada no Bioma Amazônico, na região sudoeste do Estado do Maranhão, entre os municípios de Cidelândia e Imperatriz (UCB, 2019). Em um estudo realizado por Santos et al. (2018) sobre a fauna apícola responsável pela polinização das espécies presentes na região, foram registradas 13 famílias botânicas com maior representatividade na reserva, dentre elas destaca-se a família Fabaceae. </w:t>
      </w:r>
    </w:p>
    <w:p w14:paraId="563DCB02" w14:textId="77777777" w:rsidR="000C6EF6" w:rsidRPr="004448C4" w:rsidRDefault="000770BA" w:rsidP="000C6EF6">
      <w:pPr>
        <w:spacing w:after="0" w:line="240" w:lineRule="auto"/>
        <w:jc w:val="both"/>
        <w:rPr>
          <w:rFonts w:ascii="Times New Roman" w:eastAsia="Arial" w:hAnsi="Times New Roman"/>
          <w:sz w:val="24"/>
          <w:szCs w:val="24"/>
          <w:lang w:val="pt-BR"/>
        </w:rPr>
      </w:pPr>
      <w:r w:rsidRPr="004448C4">
        <w:rPr>
          <w:rFonts w:ascii="Times New Roman" w:eastAsia="Arial" w:hAnsi="Times New Roman"/>
          <w:b/>
          <w:bCs/>
          <w:color w:val="C00000"/>
          <w:sz w:val="24"/>
          <w:szCs w:val="24"/>
          <w:lang w:val="pt-BR"/>
        </w:rPr>
        <w:t>M</w:t>
      </w:r>
      <w:r w:rsidR="00613FDB" w:rsidRPr="004448C4">
        <w:rPr>
          <w:rFonts w:ascii="Times New Roman" w:eastAsia="Arial" w:hAnsi="Times New Roman"/>
          <w:b/>
          <w:bCs/>
          <w:color w:val="C00000"/>
          <w:sz w:val="24"/>
          <w:szCs w:val="24"/>
          <w:lang w:val="pt-BR"/>
        </w:rPr>
        <w:t>etodologia</w:t>
      </w:r>
      <w:r w:rsidR="00DD1E8B" w:rsidRPr="004448C4">
        <w:rPr>
          <w:rFonts w:ascii="Times New Roman" w:eastAsia="Arial" w:hAnsi="Times New Roman"/>
          <w:b/>
          <w:bCs/>
          <w:color w:val="C00000"/>
          <w:sz w:val="24"/>
          <w:szCs w:val="24"/>
          <w:lang w:val="pt-BR"/>
        </w:rPr>
        <w:t xml:space="preserve"> </w:t>
      </w:r>
      <w:r w:rsidR="00DD1E8B" w:rsidRPr="004448C4">
        <w:rPr>
          <w:rFonts w:ascii="Times New Roman" w:hAnsi="Times New Roman"/>
          <w:color w:val="000000"/>
          <w:sz w:val="24"/>
          <w:szCs w:val="24"/>
          <w:lang w:val="pt-BR"/>
        </w:rPr>
        <w:t>O estudo foi realizado na Reserva Extrativista do Ciriaco (Figura 1), a qual tem relevo suavemente ondulado (Chapada Alta); solos do tipo Latossolo Vermelho e Latossolo Amarelo. Seu clima é sub-úmido com temperaturas em torno de 26 ºC; precipitação de 60 a 1800 mm/anual. Sua vegetação é típica da Floresta Amazônica - Floresta Tropical Decidual (vegetação secundária e atividades agrícolas) (UCB, 2019)</w:t>
      </w:r>
      <w:r w:rsidR="00DD1E8B" w:rsidRPr="004448C4">
        <w:rPr>
          <w:rFonts w:ascii="Times New Roman" w:eastAsia="Arial" w:hAnsi="Times New Roman"/>
          <w:sz w:val="24"/>
          <w:szCs w:val="24"/>
          <w:lang w:val="pt-BR"/>
        </w:rPr>
        <w:t xml:space="preserve">. </w:t>
      </w:r>
      <w:r w:rsidR="000D58A5" w:rsidRPr="004448C4">
        <w:rPr>
          <w:rFonts w:ascii="Times New Roman" w:eastAsia="Arial" w:hAnsi="Times New Roman"/>
          <w:sz w:val="24"/>
          <w:szCs w:val="24"/>
          <w:lang w:val="pt-BR"/>
        </w:rPr>
        <w:t xml:space="preserve">A coleta do material botânico das espécies ocorreu na área descrita (Figura 1), percorrendo trilhas utilizando-se para tanto um GPS. As excursões de campo ocorreram mensalmente à Reserva Extrativista do Ciriaco, onde </w:t>
      </w:r>
      <w:r w:rsidR="000D58A5" w:rsidRPr="004448C4">
        <w:rPr>
          <w:rFonts w:ascii="Times New Roman" w:eastAsia="Arial" w:hAnsi="Times New Roman"/>
          <w:sz w:val="24"/>
          <w:szCs w:val="24"/>
          <w:lang w:val="pt-BR"/>
        </w:rPr>
        <w:lastRenderedPageBreak/>
        <w:t>foram coletadas todas as espécies de Fabaceae visualizadas. Vale ressaltar que parte das espécies vegetais mencionadas na (Tabela 1) já haviam sido identificadas em um projeto desenvolvido pela equipe da profa. Ivaneide Oliveira Nascimento.</w:t>
      </w:r>
      <w:r w:rsidR="000C6EF6" w:rsidRPr="004448C4">
        <w:rPr>
          <w:rFonts w:ascii="Times New Roman" w:eastAsia="Arial" w:hAnsi="Times New Roman"/>
          <w:sz w:val="24"/>
          <w:szCs w:val="24"/>
          <w:lang w:val="pt-BR"/>
        </w:rPr>
        <w:t xml:space="preserve"> </w:t>
      </w:r>
      <w:bookmarkStart w:id="0" w:name="_Hlk43131379"/>
      <w:r w:rsidR="000C6EF6" w:rsidRPr="004448C4">
        <w:rPr>
          <w:rFonts w:ascii="Times New Roman" w:eastAsia="Arial" w:hAnsi="Times New Roman"/>
          <w:sz w:val="24"/>
          <w:szCs w:val="24"/>
          <w:lang w:val="pt-BR"/>
        </w:rPr>
        <w:t>O material coletado foi encaminhado para o herbário da Universidade Estadual da Região Tocantina do Maranhão (UEMASUL), onde foi realizado a análise morfológica dos caracteres florais e vegetativos com auxílio de bibliografias especializadas. As nomenclaturas botânicas foram conferidas no banco de dados Missouri Botanical Garden. Para a classificação das espécies seguiu-se o sistema proposto pelo LPWG (2020), consultando-se para tanto o site da Flora do Brasil 2020 (JBRJ, 2019).</w:t>
      </w:r>
      <w:bookmarkEnd w:id="0"/>
      <w:r w:rsidR="000C6EF6" w:rsidRPr="004448C4">
        <w:rPr>
          <w:rFonts w:ascii="Times New Roman" w:eastAsia="Arial" w:hAnsi="Times New Roman"/>
          <w:sz w:val="24"/>
          <w:szCs w:val="24"/>
          <w:lang w:val="pt-BR"/>
        </w:rPr>
        <w:t xml:space="preserve"> Para a observação da epiderme em vista frontal, fragmentos foliares foram dissociados em solução de peróxido de hidrogênio e ácido acético (l :1), lavados com água destilada e corados com safranina 50% (FRANKLIN, 1945) e montados com glicerinada 50%. As imagens foram obtidas no fotomiscroscópio </w:t>
      </w:r>
      <w:proofErr w:type="spellStart"/>
      <w:r w:rsidR="000C6EF6" w:rsidRPr="004448C4">
        <w:rPr>
          <w:rFonts w:ascii="Times New Roman" w:eastAsia="Arial" w:hAnsi="Times New Roman"/>
          <w:sz w:val="24"/>
          <w:szCs w:val="24"/>
          <w:lang w:val="pt-BR"/>
        </w:rPr>
        <w:t>Zeiss</w:t>
      </w:r>
      <w:proofErr w:type="spellEnd"/>
      <w:r w:rsidR="000C6EF6" w:rsidRPr="004448C4">
        <w:rPr>
          <w:rFonts w:ascii="Times New Roman" w:eastAsia="Arial" w:hAnsi="Times New Roman"/>
          <w:sz w:val="24"/>
          <w:szCs w:val="24"/>
          <w:lang w:val="pt-BR"/>
        </w:rPr>
        <w:t xml:space="preserve">. A classificação de estômatos e tricomas foram baseados em Wilkinson (1979) e </w:t>
      </w:r>
      <w:proofErr w:type="spellStart"/>
      <w:r w:rsidR="000C6EF6" w:rsidRPr="004448C4">
        <w:rPr>
          <w:rFonts w:ascii="Times New Roman" w:eastAsia="Arial" w:hAnsi="Times New Roman"/>
          <w:sz w:val="24"/>
          <w:szCs w:val="24"/>
          <w:lang w:val="pt-BR"/>
        </w:rPr>
        <w:t>Theobald</w:t>
      </w:r>
      <w:proofErr w:type="spellEnd"/>
      <w:r w:rsidR="000C6EF6" w:rsidRPr="004448C4">
        <w:rPr>
          <w:rFonts w:ascii="Times New Roman" w:eastAsia="Arial" w:hAnsi="Times New Roman"/>
          <w:sz w:val="24"/>
          <w:szCs w:val="24"/>
          <w:lang w:val="pt-BR"/>
        </w:rPr>
        <w:t xml:space="preserve"> et al. (1979), respectivamente. Para visualização da organização anatômica foliar, foi realizado secções transversais executadas à mão livre em folhas (lâmina foliar) com auxílio de lâminas cortantes comerciais para as espécies descritas. As secções foram clarificadas com hipoclorito de sódio a 20%, neutralizadas com ácido acético a 0,2%, lavadas com água destilada e coradas com azul de toluidina e fucsina (KRAUS; ARDUN, 1997) e montadas com glicerina 50%.</w:t>
      </w:r>
    </w:p>
    <w:p w14:paraId="2DD3D322" w14:textId="77777777" w:rsidR="000C6EF6" w:rsidRPr="004448C4" w:rsidRDefault="000C6EF6" w:rsidP="000C6EF6">
      <w:pPr>
        <w:spacing w:after="0" w:line="240" w:lineRule="auto"/>
        <w:jc w:val="both"/>
        <w:rPr>
          <w:rFonts w:ascii="Times New Roman" w:eastAsia="Arial" w:hAnsi="Times New Roman"/>
          <w:sz w:val="24"/>
          <w:szCs w:val="24"/>
          <w:lang w:val="pt-BR"/>
        </w:rPr>
      </w:pPr>
    </w:p>
    <w:p w14:paraId="09F88C57" w14:textId="50A41B8E" w:rsidR="000C6EF6" w:rsidRPr="004448C4" w:rsidRDefault="003157D6" w:rsidP="000C6EF6">
      <w:pPr>
        <w:spacing w:after="0" w:line="240" w:lineRule="auto"/>
        <w:jc w:val="both"/>
        <w:rPr>
          <w:rFonts w:ascii="Times New Roman" w:eastAsia="Arial" w:hAnsi="Times New Roman"/>
          <w:sz w:val="24"/>
          <w:szCs w:val="24"/>
          <w:lang w:val="pt-BR"/>
        </w:rPr>
      </w:pPr>
      <w:r w:rsidRPr="004448C4">
        <w:rPr>
          <w:rFonts w:ascii="Times New Roman" w:eastAsia="Symbol" w:hAnsi="Times New Roman"/>
          <w:bCs/>
          <w:noProof/>
          <w:sz w:val="24"/>
          <w:szCs w:val="24"/>
          <w:lang w:eastAsia="pt-BR" w:bidi="pt-BR"/>
        </w:rPr>
        <w:drawing>
          <wp:anchor distT="0" distB="0" distL="114300" distR="114300" simplePos="0" relativeHeight="251658240" behindDoc="0" locked="0" layoutInCell="1" allowOverlap="1" wp14:anchorId="6AF0B004" wp14:editId="25A1723A">
            <wp:simplePos x="0" y="0"/>
            <wp:positionH relativeFrom="margin">
              <wp:align>left</wp:align>
            </wp:positionH>
            <wp:positionV relativeFrom="paragraph">
              <wp:posOffset>1112520</wp:posOffset>
            </wp:positionV>
            <wp:extent cx="5760085" cy="2266950"/>
            <wp:effectExtent l="0" t="0" r="0" b="0"/>
            <wp:wrapSquare wrapText="bothSides"/>
            <wp:docPr id="6" name="Imagem 6"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Mapa&#10;&#10;Descrição gerada automaticamente"/>
                    <pic:cNvPicPr/>
                  </pic:nvPicPr>
                  <pic:blipFill rotWithShape="1">
                    <a:blip r:embed="rId10">
                      <a:extLst>
                        <a:ext uri="{28A0092B-C50C-407E-A947-70E740481C1C}">
                          <a14:useLocalDpi xmlns:a14="http://schemas.microsoft.com/office/drawing/2010/main" val="0"/>
                        </a:ext>
                      </a:extLst>
                    </a:blip>
                    <a:srcRect t="10071" b="60414"/>
                    <a:stretch/>
                  </pic:blipFill>
                  <pic:spPr bwMode="auto">
                    <a:xfrm>
                      <a:off x="0" y="0"/>
                      <a:ext cx="5760085" cy="2266950"/>
                    </a:xfrm>
                    <a:prstGeom prst="rect">
                      <a:avLst/>
                    </a:prstGeom>
                    <a:ln>
                      <a:noFill/>
                    </a:ln>
                    <a:extLst>
                      <a:ext uri="{53640926-AAD7-44D8-BBD7-CCE9431645EC}">
                        <a14:shadowObscured xmlns:a14="http://schemas.microsoft.com/office/drawing/2010/main"/>
                      </a:ext>
                    </a:extLst>
                  </pic:spPr>
                </pic:pic>
              </a:graphicData>
            </a:graphic>
          </wp:anchor>
        </w:drawing>
      </w:r>
      <w:proofErr w:type="gramStart"/>
      <w:r w:rsidR="00366138" w:rsidRPr="004448C4">
        <w:rPr>
          <w:rFonts w:ascii="Times New Roman" w:eastAsia="Arial" w:hAnsi="Times New Roman"/>
          <w:b/>
          <w:bCs/>
          <w:color w:val="C00000"/>
          <w:sz w:val="24"/>
          <w:szCs w:val="24"/>
          <w:lang w:val="pt-BR"/>
        </w:rPr>
        <w:t xml:space="preserve">Resultados e </w:t>
      </w:r>
      <w:r w:rsidRPr="004448C4">
        <w:rPr>
          <w:rFonts w:ascii="Times New Roman" w:eastAsia="Arial" w:hAnsi="Times New Roman"/>
          <w:b/>
          <w:bCs/>
          <w:color w:val="C00000"/>
          <w:sz w:val="24"/>
          <w:szCs w:val="24"/>
          <w:lang w:val="pt-BR"/>
        </w:rPr>
        <w:t>Discussão</w:t>
      </w:r>
      <w:r w:rsidRPr="004448C4">
        <w:rPr>
          <w:rFonts w:ascii="Times New Roman" w:eastAsia="Arial" w:hAnsi="Times New Roman"/>
          <w:color w:val="C00000"/>
          <w:sz w:val="24"/>
          <w:szCs w:val="24"/>
          <w:lang w:val="pt-BR"/>
        </w:rPr>
        <w:t xml:space="preserve"> </w:t>
      </w:r>
      <w:r w:rsidRPr="004448C4">
        <w:rPr>
          <w:rFonts w:ascii="Times New Roman" w:hAnsi="Times New Roman"/>
          <w:sz w:val="24"/>
          <w:szCs w:val="24"/>
          <w:lang w:val="pt-BR"/>
        </w:rPr>
        <w:t>Pode-se</w:t>
      </w:r>
      <w:proofErr w:type="gramEnd"/>
      <w:r w:rsidRPr="004448C4">
        <w:rPr>
          <w:rFonts w:ascii="Times New Roman" w:hAnsi="Times New Roman"/>
          <w:sz w:val="24"/>
          <w:szCs w:val="24"/>
          <w:lang w:val="pt-BR"/>
        </w:rPr>
        <w:t xml:space="preserve"> observar, após esse processo, assim como o esperado, estruturas importantes para a classificação, bem como a obtenção de importantes dados para a contribuição florística dessa família. Apenas estômatos paracíticos foram encontrados algo que já foi evidenciado em alguns outros estudos como o de (METCALFE &amp; CHALK, 1950) que citou estômatos paracíticos como bastante comuns a vários gêneros da família Fabaceae e os classificou como hipoestomático (Figura 1).</w:t>
      </w:r>
    </w:p>
    <w:p w14:paraId="42387615" w14:textId="203931F9" w:rsidR="00DA4CBA" w:rsidRDefault="009A5CB0" w:rsidP="00571FC1">
      <w:pPr>
        <w:spacing w:after="0" w:line="240" w:lineRule="auto"/>
        <w:jc w:val="both"/>
        <w:rPr>
          <w:rFonts w:ascii="Times New Roman" w:eastAsia="Symbol" w:hAnsi="Times New Roman"/>
          <w:bCs/>
          <w:sz w:val="24"/>
          <w:szCs w:val="24"/>
          <w:lang w:val="pt-BR" w:eastAsia="pt-BR" w:bidi="pt-BR"/>
        </w:rPr>
      </w:pPr>
      <w:r w:rsidRPr="004448C4">
        <w:rPr>
          <w:rFonts w:ascii="Times New Roman" w:eastAsia="Symbol" w:hAnsi="Times New Roman"/>
          <w:bCs/>
          <w:sz w:val="24"/>
          <w:szCs w:val="24"/>
          <w:lang w:val="pt-BR" w:eastAsia="pt-BR" w:bidi="pt-BR"/>
        </w:rPr>
        <w:t xml:space="preserve">Figura 1: Lâmina foliar hipoestômatica de </w:t>
      </w:r>
      <w:r w:rsidRPr="004448C4">
        <w:rPr>
          <w:rFonts w:ascii="Times New Roman" w:eastAsia="Symbol" w:hAnsi="Times New Roman"/>
          <w:bCs/>
          <w:i/>
          <w:iCs/>
          <w:sz w:val="24"/>
          <w:szCs w:val="24"/>
          <w:lang w:val="pt-BR" w:eastAsia="pt-BR" w:bidi="pt-BR"/>
        </w:rPr>
        <w:t>Abarema jupunba.</w:t>
      </w:r>
      <w:r w:rsidRPr="004448C4">
        <w:rPr>
          <w:rFonts w:ascii="Times New Roman" w:eastAsia="Symbol" w:hAnsi="Times New Roman"/>
          <w:bCs/>
          <w:sz w:val="24"/>
          <w:szCs w:val="24"/>
          <w:lang w:val="pt-BR" w:eastAsia="pt-BR" w:bidi="pt-BR"/>
        </w:rPr>
        <w:t xml:space="preserve"> A. Face adaxial com células anticlinais sinuosas; B. Face abaxial, parede anticlinal sinuosa e presença de estômatos (est) paracítico</w:t>
      </w:r>
      <w:r w:rsidR="00DA4CBA">
        <w:rPr>
          <w:rFonts w:ascii="Times New Roman" w:eastAsia="Symbol" w:hAnsi="Times New Roman"/>
          <w:bCs/>
          <w:sz w:val="24"/>
          <w:szCs w:val="24"/>
          <w:lang w:val="pt-BR" w:eastAsia="pt-BR" w:bidi="pt-BR"/>
        </w:rPr>
        <w:t>s</w:t>
      </w:r>
      <w:r w:rsidRPr="004448C4">
        <w:rPr>
          <w:rFonts w:ascii="Times New Roman" w:eastAsia="Symbol" w:hAnsi="Times New Roman"/>
          <w:bCs/>
          <w:sz w:val="24"/>
          <w:szCs w:val="24"/>
          <w:lang w:val="pt-BR" w:eastAsia="pt-BR" w:bidi="pt-BR"/>
        </w:rPr>
        <w:t>.</w:t>
      </w:r>
    </w:p>
    <w:p w14:paraId="64D1439E" w14:textId="47F177B9" w:rsidR="009A5CB0" w:rsidRPr="00DA4CBA" w:rsidRDefault="00F10F1B" w:rsidP="00571FC1">
      <w:pPr>
        <w:spacing w:after="0" w:line="240" w:lineRule="auto"/>
        <w:jc w:val="both"/>
        <w:rPr>
          <w:rFonts w:ascii="Times New Roman" w:eastAsia="Symbol" w:hAnsi="Times New Roman"/>
          <w:bCs/>
          <w:sz w:val="24"/>
          <w:szCs w:val="24"/>
          <w:lang w:val="pt-BR" w:eastAsia="pt-BR" w:bidi="pt-BR"/>
        </w:rPr>
      </w:pPr>
      <w:r w:rsidRPr="004448C4">
        <w:rPr>
          <w:rFonts w:ascii="Times New Roman" w:eastAsia="Symbol" w:hAnsi="Times New Roman"/>
          <w:noProof/>
          <w:sz w:val="24"/>
          <w:szCs w:val="24"/>
          <w:lang w:bidi="pt-BR"/>
        </w:rPr>
        <w:lastRenderedPageBreak/>
        <w:drawing>
          <wp:anchor distT="0" distB="0" distL="114300" distR="114300" simplePos="0" relativeHeight="251659264" behindDoc="0" locked="0" layoutInCell="1" allowOverlap="1" wp14:anchorId="122D0896" wp14:editId="50A30E96">
            <wp:simplePos x="0" y="0"/>
            <wp:positionH relativeFrom="margin">
              <wp:align>left</wp:align>
            </wp:positionH>
            <wp:positionV relativeFrom="paragraph">
              <wp:posOffset>1279525</wp:posOffset>
            </wp:positionV>
            <wp:extent cx="5695950" cy="2288540"/>
            <wp:effectExtent l="0" t="0" r="0" b="0"/>
            <wp:wrapSquare wrapText="bothSides"/>
            <wp:docPr id="7" name="Imagem 7" descr="Padrão do plano de fund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Padrão do plano de fundo&#10;&#10;Descrição gerada automaticamente com confiança média"/>
                    <pic:cNvPicPr/>
                  </pic:nvPicPr>
                  <pic:blipFill rotWithShape="1">
                    <a:blip r:embed="rId11">
                      <a:extLst>
                        <a:ext uri="{BEBA8EAE-BF5A-486C-A8C5-ECC9F3942E4B}">
                          <a14:imgProps xmlns:a14="http://schemas.microsoft.com/office/drawing/2010/main">
                            <a14:imgLayer r:embed="rId12">
                              <a14:imgEffect>
                                <a14:saturation sat="66000"/>
                              </a14:imgEffect>
                              <a14:imgEffect>
                                <a14:brightnessContrast contrast="20000"/>
                              </a14:imgEffect>
                            </a14:imgLayer>
                          </a14:imgProps>
                        </a:ext>
                        <a:ext uri="{28A0092B-C50C-407E-A947-70E740481C1C}">
                          <a14:useLocalDpi xmlns:a14="http://schemas.microsoft.com/office/drawing/2010/main" val="0"/>
                        </a:ext>
                      </a:extLst>
                    </a:blip>
                    <a:srcRect t="6922" b="62943"/>
                    <a:stretch/>
                  </pic:blipFill>
                  <pic:spPr bwMode="auto">
                    <a:xfrm>
                      <a:off x="0" y="0"/>
                      <a:ext cx="5695950" cy="228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4CBA">
        <w:rPr>
          <w:rFonts w:ascii="Times New Roman" w:eastAsia="Symbol" w:hAnsi="Times New Roman"/>
          <w:bCs/>
          <w:sz w:val="24"/>
          <w:szCs w:val="24"/>
          <w:lang w:val="pt-BR" w:eastAsia="pt-BR" w:bidi="pt-BR"/>
        </w:rPr>
        <w:tab/>
      </w:r>
      <w:r w:rsidRPr="004448C4">
        <w:rPr>
          <w:rFonts w:ascii="Times New Roman" w:hAnsi="Times New Roman"/>
          <w:sz w:val="24"/>
          <w:szCs w:val="24"/>
          <w:lang w:val="pt-BR"/>
        </w:rPr>
        <w:t xml:space="preserve">Neste estudo também foram encontradas algumas espécies anfiestomática bem como, </w:t>
      </w:r>
      <w:proofErr w:type="spellStart"/>
      <w:r w:rsidRPr="004448C4">
        <w:rPr>
          <w:rFonts w:ascii="Times New Roman" w:hAnsi="Times New Roman"/>
          <w:sz w:val="24"/>
          <w:szCs w:val="24"/>
          <w:lang w:val="pt-BR"/>
        </w:rPr>
        <w:t>Macrolobium</w:t>
      </w:r>
      <w:proofErr w:type="spellEnd"/>
      <w:r w:rsidRPr="004448C4">
        <w:rPr>
          <w:rFonts w:ascii="Times New Roman" w:hAnsi="Times New Roman"/>
          <w:sz w:val="24"/>
          <w:szCs w:val="24"/>
          <w:lang w:val="pt-BR"/>
        </w:rPr>
        <w:t xml:space="preserve"> </w:t>
      </w:r>
      <w:proofErr w:type="spellStart"/>
      <w:r w:rsidRPr="004448C4">
        <w:rPr>
          <w:rFonts w:ascii="Times New Roman" w:hAnsi="Times New Roman"/>
          <w:sz w:val="24"/>
          <w:szCs w:val="24"/>
          <w:lang w:val="pt-BR"/>
        </w:rPr>
        <w:t>acaciifolium</w:t>
      </w:r>
      <w:proofErr w:type="spellEnd"/>
      <w:r w:rsidRPr="004448C4">
        <w:rPr>
          <w:rFonts w:ascii="Times New Roman" w:hAnsi="Times New Roman"/>
          <w:sz w:val="24"/>
          <w:szCs w:val="24"/>
          <w:lang w:val="pt-BR"/>
        </w:rPr>
        <w:t xml:space="preserve"> (Figura 2</w:t>
      </w:r>
      <w:r w:rsidRPr="00DA4CBA">
        <w:rPr>
          <w:rFonts w:ascii="Times New Roman" w:hAnsi="Times New Roman"/>
          <w:i/>
          <w:iCs/>
          <w:sz w:val="24"/>
          <w:szCs w:val="24"/>
          <w:lang w:val="pt-BR"/>
        </w:rPr>
        <w:t xml:space="preserve">), </w:t>
      </w:r>
      <w:proofErr w:type="spellStart"/>
      <w:r w:rsidRPr="00DA4CBA">
        <w:rPr>
          <w:rFonts w:ascii="Times New Roman" w:hAnsi="Times New Roman"/>
          <w:i/>
          <w:iCs/>
          <w:sz w:val="24"/>
          <w:szCs w:val="24"/>
          <w:lang w:val="pt-BR"/>
        </w:rPr>
        <w:t>Melilotus</w:t>
      </w:r>
      <w:proofErr w:type="spellEnd"/>
      <w:r w:rsidRPr="00DA4CBA">
        <w:rPr>
          <w:rFonts w:ascii="Times New Roman" w:hAnsi="Times New Roman"/>
          <w:i/>
          <w:iCs/>
          <w:sz w:val="24"/>
          <w:szCs w:val="24"/>
          <w:lang w:val="pt-BR"/>
        </w:rPr>
        <w:t xml:space="preserve"> </w:t>
      </w:r>
      <w:proofErr w:type="spellStart"/>
      <w:r w:rsidRPr="00DA4CBA">
        <w:rPr>
          <w:rFonts w:ascii="Times New Roman" w:hAnsi="Times New Roman"/>
          <w:i/>
          <w:iCs/>
          <w:sz w:val="24"/>
          <w:szCs w:val="24"/>
          <w:lang w:val="pt-BR"/>
        </w:rPr>
        <w:t>officialis</w:t>
      </w:r>
      <w:proofErr w:type="spellEnd"/>
      <w:r w:rsidRPr="004448C4">
        <w:rPr>
          <w:rFonts w:ascii="Times New Roman" w:hAnsi="Times New Roman"/>
          <w:sz w:val="24"/>
          <w:szCs w:val="24"/>
          <w:lang w:val="pt-BR"/>
        </w:rPr>
        <w:t xml:space="preserve"> e dispostas na subfamília </w:t>
      </w:r>
      <w:proofErr w:type="spellStart"/>
      <w:r w:rsidRPr="004448C4">
        <w:rPr>
          <w:rFonts w:ascii="Times New Roman" w:hAnsi="Times New Roman"/>
          <w:sz w:val="24"/>
          <w:szCs w:val="24"/>
          <w:lang w:val="pt-BR"/>
        </w:rPr>
        <w:t>Detaroideae</w:t>
      </w:r>
      <w:proofErr w:type="spellEnd"/>
      <w:r w:rsidRPr="004448C4">
        <w:rPr>
          <w:rFonts w:ascii="Times New Roman" w:hAnsi="Times New Roman"/>
          <w:sz w:val="24"/>
          <w:szCs w:val="24"/>
          <w:lang w:val="pt-BR"/>
        </w:rPr>
        <w:t xml:space="preserve"> e </w:t>
      </w:r>
      <w:proofErr w:type="spellStart"/>
      <w:r w:rsidRPr="00DA4CBA">
        <w:rPr>
          <w:rFonts w:ascii="Times New Roman" w:hAnsi="Times New Roman"/>
          <w:i/>
          <w:iCs/>
          <w:sz w:val="24"/>
          <w:szCs w:val="24"/>
          <w:lang w:val="pt-BR"/>
        </w:rPr>
        <w:t>Bauhinia</w:t>
      </w:r>
      <w:proofErr w:type="spellEnd"/>
      <w:r w:rsidR="00DA4CBA">
        <w:rPr>
          <w:rFonts w:ascii="Times New Roman" w:hAnsi="Times New Roman"/>
          <w:i/>
          <w:iCs/>
          <w:sz w:val="24"/>
          <w:szCs w:val="24"/>
          <w:lang w:val="pt-BR"/>
        </w:rPr>
        <w:t xml:space="preserve"> </w:t>
      </w:r>
      <w:proofErr w:type="spellStart"/>
      <w:r w:rsidRPr="00DA4CBA">
        <w:rPr>
          <w:rFonts w:ascii="Times New Roman" w:hAnsi="Times New Roman"/>
          <w:i/>
          <w:iCs/>
          <w:sz w:val="24"/>
          <w:szCs w:val="24"/>
          <w:lang w:val="pt-BR"/>
        </w:rPr>
        <w:t>forficata</w:t>
      </w:r>
      <w:proofErr w:type="spellEnd"/>
      <w:r w:rsidRPr="004448C4">
        <w:rPr>
          <w:rFonts w:ascii="Times New Roman" w:hAnsi="Times New Roman"/>
          <w:sz w:val="24"/>
          <w:szCs w:val="24"/>
          <w:lang w:val="pt-BR"/>
        </w:rPr>
        <w:t xml:space="preserve"> da subfamília Caesalpinioideae. Nota-se que, em especifico a subfamília Caesalpinioideae, a predominância foi de estômatos do tipo anomocítico. Ao se comparar as duas faces da epiderme em vista paradérmica, observa</w:t>
      </w:r>
      <w:r w:rsidR="00DA4CBA">
        <w:rPr>
          <w:rFonts w:ascii="Times New Roman" w:hAnsi="Times New Roman"/>
          <w:sz w:val="24"/>
          <w:szCs w:val="24"/>
          <w:lang w:val="pt-BR"/>
        </w:rPr>
        <w:t>-</w:t>
      </w:r>
      <w:r w:rsidRPr="004448C4">
        <w:rPr>
          <w:rFonts w:ascii="Times New Roman" w:hAnsi="Times New Roman"/>
          <w:sz w:val="24"/>
          <w:szCs w:val="24"/>
          <w:lang w:val="pt-BR"/>
        </w:rPr>
        <w:t>se que há variação do formato e tamanho das células na maioria das espécies estudadas, desde formato curvo à sinuoso.</w:t>
      </w:r>
    </w:p>
    <w:p w14:paraId="6B55AE17" w14:textId="7A7F75C5" w:rsidR="00F10F1B" w:rsidRPr="004448C4" w:rsidRDefault="00F10F1B" w:rsidP="00571FC1">
      <w:pPr>
        <w:spacing w:after="0" w:line="240" w:lineRule="auto"/>
        <w:jc w:val="both"/>
        <w:rPr>
          <w:rFonts w:ascii="Times New Roman" w:hAnsi="Times New Roman"/>
          <w:sz w:val="24"/>
          <w:szCs w:val="24"/>
          <w:lang w:val="pt-BR"/>
        </w:rPr>
      </w:pPr>
      <w:r w:rsidRPr="004448C4">
        <w:rPr>
          <w:rFonts w:ascii="Times New Roman" w:eastAsia="Symbol" w:hAnsi="Times New Roman"/>
          <w:sz w:val="24"/>
          <w:szCs w:val="24"/>
          <w:lang w:val="pt-BR" w:bidi="pt-BR"/>
        </w:rPr>
        <w:t xml:space="preserve">Figura 2: Lâmina foliar de </w:t>
      </w:r>
      <w:proofErr w:type="spellStart"/>
      <w:r w:rsidRPr="004448C4">
        <w:rPr>
          <w:rFonts w:ascii="Times New Roman" w:eastAsia="Symbol" w:hAnsi="Times New Roman"/>
          <w:i/>
          <w:sz w:val="24"/>
          <w:szCs w:val="24"/>
          <w:lang w:val="pt-BR" w:bidi="pt-BR"/>
        </w:rPr>
        <w:t>Macrolobium</w:t>
      </w:r>
      <w:proofErr w:type="spellEnd"/>
      <w:r w:rsidRPr="004448C4">
        <w:rPr>
          <w:rFonts w:ascii="Times New Roman" w:eastAsia="Symbol" w:hAnsi="Times New Roman"/>
          <w:i/>
          <w:sz w:val="24"/>
          <w:szCs w:val="24"/>
          <w:lang w:val="pt-BR" w:bidi="pt-BR"/>
        </w:rPr>
        <w:t xml:space="preserve"> </w:t>
      </w:r>
      <w:proofErr w:type="spellStart"/>
      <w:r w:rsidRPr="004448C4">
        <w:rPr>
          <w:rFonts w:ascii="Times New Roman" w:eastAsia="Symbol" w:hAnsi="Times New Roman"/>
          <w:i/>
          <w:sz w:val="24"/>
          <w:szCs w:val="24"/>
          <w:lang w:val="pt-BR" w:bidi="pt-BR"/>
        </w:rPr>
        <w:t>acaciifolium</w:t>
      </w:r>
      <w:proofErr w:type="spellEnd"/>
      <w:r w:rsidRPr="004448C4">
        <w:rPr>
          <w:rFonts w:ascii="Times New Roman" w:eastAsia="Symbol" w:hAnsi="Times New Roman"/>
          <w:i/>
          <w:iCs/>
          <w:sz w:val="24"/>
          <w:szCs w:val="24"/>
          <w:lang w:val="pt-BR" w:bidi="pt-BR"/>
        </w:rPr>
        <w:t>.</w:t>
      </w:r>
      <w:r w:rsidRPr="004448C4">
        <w:rPr>
          <w:rFonts w:ascii="Times New Roman" w:eastAsia="Symbol" w:hAnsi="Times New Roman"/>
          <w:sz w:val="24"/>
          <w:szCs w:val="24"/>
          <w:lang w:val="pt-BR" w:bidi="pt-BR"/>
        </w:rPr>
        <w:t xml:space="preserve"> A. Face adaxial com células anticlinais curvas, com a disposição dos estômatos em fileira; B. Detalhe dos estômatos paracíticos.</w:t>
      </w:r>
    </w:p>
    <w:p w14:paraId="761E171F" w14:textId="557D5952" w:rsidR="00F10F1B" w:rsidRPr="004448C4" w:rsidRDefault="00D25A70" w:rsidP="00571FC1">
      <w:pPr>
        <w:spacing w:after="0" w:line="240" w:lineRule="auto"/>
        <w:jc w:val="both"/>
        <w:rPr>
          <w:rFonts w:ascii="Times New Roman" w:hAnsi="Times New Roman"/>
          <w:sz w:val="24"/>
          <w:szCs w:val="24"/>
          <w:lang w:val="pt-BR"/>
        </w:rPr>
      </w:pPr>
      <w:r w:rsidRPr="004448C4">
        <w:rPr>
          <w:rFonts w:ascii="Times New Roman" w:hAnsi="Times New Roman"/>
          <w:sz w:val="24"/>
          <w:szCs w:val="24"/>
          <w:lang w:val="pt-BR"/>
        </w:rPr>
        <w:tab/>
        <w:t>Evidenciou-se a presença de cristais de forma predominante, segundo (ZINDLER-FRANK, 1987) a presença de cristais é uma característica frequente em Detarioideae. Relações dentro do estudo epidérmico foram analisadas por diversos autores, alguns empregando métodos filogenéticos (GOMES et al., 2008), outros propondo classificações por comparações morfológicas (ROMITELLI &amp; MARTINS, 2013) por meio dos cortes transversais, o qual permitiu através da análise dos estômatos a prevenção até mesmo de possíveis erros na utilização das plantas como medicinais</w:t>
      </w:r>
      <w:r w:rsidR="006A264F" w:rsidRPr="004448C4">
        <w:rPr>
          <w:rFonts w:ascii="Times New Roman" w:hAnsi="Times New Roman"/>
          <w:sz w:val="24"/>
          <w:szCs w:val="24"/>
          <w:lang w:val="pt-BR"/>
        </w:rPr>
        <w:t>.</w:t>
      </w:r>
    </w:p>
    <w:p w14:paraId="28C0F3AC" w14:textId="06395838" w:rsidR="00F10F1B" w:rsidRPr="004448C4" w:rsidRDefault="00F10F1B" w:rsidP="00571FC1">
      <w:pPr>
        <w:spacing w:after="0" w:line="240" w:lineRule="auto"/>
        <w:jc w:val="both"/>
        <w:rPr>
          <w:rFonts w:ascii="Times New Roman" w:hAnsi="Times New Roman"/>
          <w:sz w:val="24"/>
          <w:szCs w:val="24"/>
          <w:lang w:val="pt-BR"/>
        </w:rPr>
      </w:pPr>
    </w:p>
    <w:p w14:paraId="5392690A" w14:textId="05EEBF29" w:rsidR="00366138" w:rsidRPr="004448C4" w:rsidRDefault="00366138" w:rsidP="00571FC1">
      <w:pPr>
        <w:spacing w:after="0" w:line="240" w:lineRule="auto"/>
        <w:jc w:val="both"/>
        <w:rPr>
          <w:rFonts w:ascii="Times New Roman" w:hAnsi="Times New Roman"/>
          <w:sz w:val="24"/>
          <w:szCs w:val="24"/>
          <w:lang w:val="pt-BR"/>
        </w:rPr>
      </w:pPr>
      <w:r w:rsidRPr="004448C4">
        <w:rPr>
          <w:rFonts w:ascii="Times New Roman" w:eastAsia="Arial" w:hAnsi="Times New Roman"/>
          <w:b/>
          <w:bCs/>
          <w:color w:val="C00000"/>
          <w:sz w:val="24"/>
          <w:szCs w:val="24"/>
          <w:lang w:val="pt-BR"/>
        </w:rPr>
        <w:t>Conclus</w:t>
      </w:r>
      <w:r w:rsidR="00F83339" w:rsidRPr="004448C4">
        <w:rPr>
          <w:rFonts w:ascii="Times New Roman" w:eastAsia="Arial" w:hAnsi="Times New Roman"/>
          <w:b/>
          <w:bCs/>
          <w:color w:val="C00000"/>
          <w:sz w:val="24"/>
          <w:szCs w:val="24"/>
          <w:lang w:val="pt-BR"/>
        </w:rPr>
        <w:t>ões</w:t>
      </w:r>
      <w:r w:rsidR="006A264F" w:rsidRPr="004448C4">
        <w:rPr>
          <w:rFonts w:ascii="Times New Roman" w:eastAsia="Arial" w:hAnsi="Times New Roman"/>
          <w:color w:val="C00000"/>
          <w:sz w:val="24"/>
          <w:szCs w:val="24"/>
          <w:lang w:val="pt-BR"/>
        </w:rPr>
        <w:t xml:space="preserve"> </w:t>
      </w:r>
      <w:r w:rsidR="00F10F1B" w:rsidRPr="004448C4">
        <w:rPr>
          <w:rFonts w:ascii="Times New Roman" w:hAnsi="Times New Roman"/>
          <w:sz w:val="24"/>
          <w:szCs w:val="24"/>
          <w:lang w:val="pt-BR"/>
        </w:rPr>
        <w:t>As observações realizadas a partir das amostras analisadas, tem nos revelados que houve um equilíbrio entre folhas anfiestomática e hipoestomática, embora a presença de tricomas nas duas faces também tenha predominado ao invés de apenas uma face. Tendo em vista que, diante da grande diversidade de Fabaceae, foi possível notar através dos dados obtidos pelas análises, que há uma variação notável entres as microestruturas epidérmicas, variações essas que permitem sua caracterização. Levando em consideração parede anticlinal, tipo de estômato e tricomas, constatou-se que Detarioideae e Papilionoideae estão próximos a nível taxonômico, desta forma supõem</w:t>
      </w:r>
      <w:r w:rsidR="006A264F" w:rsidRPr="004448C4">
        <w:rPr>
          <w:rFonts w:ascii="Times New Roman" w:hAnsi="Times New Roman"/>
          <w:sz w:val="24"/>
          <w:szCs w:val="24"/>
          <w:lang w:val="pt-BR"/>
        </w:rPr>
        <w:t>-</w:t>
      </w:r>
      <w:r w:rsidR="00F10F1B" w:rsidRPr="004448C4">
        <w:rPr>
          <w:rFonts w:ascii="Times New Roman" w:hAnsi="Times New Roman"/>
          <w:sz w:val="24"/>
          <w:szCs w:val="24"/>
          <w:lang w:val="pt-BR"/>
        </w:rPr>
        <w:t>se que esta tribo é sistematicamente próxima.</w:t>
      </w:r>
    </w:p>
    <w:p w14:paraId="1BE10078" w14:textId="77777777" w:rsidR="006A264F" w:rsidRPr="004448C4" w:rsidRDefault="006A264F" w:rsidP="00571FC1">
      <w:pPr>
        <w:spacing w:after="0" w:line="240" w:lineRule="auto"/>
        <w:jc w:val="both"/>
        <w:rPr>
          <w:rFonts w:ascii="Times New Roman" w:eastAsia="Arial" w:hAnsi="Times New Roman"/>
          <w:b/>
          <w:bCs/>
          <w:sz w:val="24"/>
          <w:szCs w:val="24"/>
          <w:lang w:val="pt-BR"/>
        </w:rPr>
      </w:pPr>
    </w:p>
    <w:p w14:paraId="32D48F55" w14:textId="4855BA83" w:rsidR="00366138" w:rsidRPr="004448C4" w:rsidRDefault="00366138" w:rsidP="00571FC1">
      <w:pPr>
        <w:spacing w:after="0" w:line="240" w:lineRule="auto"/>
        <w:jc w:val="both"/>
        <w:rPr>
          <w:rFonts w:ascii="Times New Roman" w:eastAsia="Arial" w:hAnsi="Times New Roman"/>
          <w:color w:val="C00000"/>
          <w:sz w:val="24"/>
          <w:szCs w:val="24"/>
          <w:lang w:val="pt-BR"/>
        </w:rPr>
      </w:pPr>
      <w:r w:rsidRPr="004448C4">
        <w:rPr>
          <w:rFonts w:ascii="Times New Roman" w:eastAsia="Arial" w:hAnsi="Times New Roman"/>
          <w:b/>
          <w:bCs/>
          <w:color w:val="C00000"/>
          <w:sz w:val="24"/>
          <w:szCs w:val="24"/>
          <w:lang w:val="pt-BR"/>
        </w:rPr>
        <w:t>Referências</w:t>
      </w:r>
      <w:r w:rsidR="00AE2A0F" w:rsidRPr="004448C4">
        <w:rPr>
          <w:rFonts w:ascii="Times New Roman" w:eastAsia="Arial" w:hAnsi="Times New Roman"/>
          <w:b/>
          <w:bCs/>
          <w:color w:val="C00000"/>
          <w:sz w:val="24"/>
          <w:szCs w:val="24"/>
          <w:lang w:val="pt-BR"/>
        </w:rPr>
        <w:t xml:space="preserve"> bibliográficas</w:t>
      </w:r>
    </w:p>
    <w:p w14:paraId="55AF8882" w14:textId="442378F2" w:rsidR="00CB2AEF" w:rsidRDefault="00CB2AEF" w:rsidP="00571FC1">
      <w:pPr>
        <w:spacing w:after="0" w:line="240" w:lineRule="auto"/>
        <w:jc w:val="both"/>
        <w:rPr>
          <w:rFonts w:ascii="Times New Roman" w:hAnsi="Times New Roman"/>
          <w:sz w:val="24"/>
          <w:szCs w:val="24"/>
          <w:lang w:val="pt-BR"/>
        </w:rPr>
      </w:pPr>
    </w:p>
    <w:p w14:paraId="1FE3A3FF" w14:textId="423113CC" w:rsidR="00D9104A" w:rsidRPr="004448C4" w:rsidRDefault="00CD2201" w:rsidP="00571FC1">
      <w:pPr>
        <w:spacing w:after="0" w:line="240" w:lineRule="auto"/>
        <w:jc w:val="both"/>
        <w:rPr>
          <w:rFonts w:ascii="Times New Roman" w:hAnsi="Times New Roman"/>
          <w:sz w:val="24"/>
          <w:szCs w:val="24"/>
          <w:lang w:val="pt-BR"/>
        </w:rPr>
      </w:pPr>
      <w:r w:rsidRPr="00CD2201">
        <w:rPr>
          <w:rFonts w:ascii="Times New Roman" w:hAnsi="Times New Roman"/>
          <w:sz w:val="24"/>
          <w:szCs w:val="24"/>
          <w:lang w:val="pt-BR"/>
        </w:rPr>
        <w:t xml:space="preserve">GOMES, Sueli Maria; SOMAVILLA, N. S. D. N.; GOMES-BEZERRA, </w:t>
      </w:r>
      <w:proofErr w:type="spellStart"/>
      <w:r w:rsidRPr="00CD2201">
        <w:rPr>
          <w:rFonts w:ascii="Times New Roman" w:hAnsi="Times New Roman"/>
          <w:sz w:val="24"/>
          <w:szCs w:val="24"/>
          <w:lang w:val="pt-BR"/>
        </w:rPr>
        <w:t>Kadja</w:t>
      </w:r>
      <w:proofErr w:type="spellEnd"/>
      <w:r w:rsidRPr="00CD2201">
        <w:rPr>
          <w:rFonts w:ascii="Times New Roman" w:hAnsi="Times New Roman"/>
          <w:sz w:val="24"/>
          <w:szCs w:val="24"/>
          <w:lang w:val="pt-BR"/>
        </w:rPr>
        <w:t xml:space="preserve"> Milena; MIRANDA, S. D. C. D.; DE-CARVALHO. Plauto Simão e GRACIANO-RIBEIRO, Dalva. Anatomia foliar de espécies de </w:t>
      </w:r>
      <w:proofErr w:type="spellStart"/>
      <w:r w:rsidRPr="00CD2201">
        <w:rPr>
          <w:rFonts w:ascii="Times New Roman" w:hAnsi="Times New Roman"/>
          <w:sz w:val="24"/>
          <w:szCs w:val="24"/>
          <w:lang w:val="pt-BR"/>
        </w:rPr>
        <w:t>Myrtaceae</w:t>
      </w:r>
      <w:proofErr w:type="spellEnd"/>
      <w:r w:rsidRPr="00CD2201">
        <w:rPr>
          <w:rFonts w:ascii="Times New Roman" w:hAnsi="Times New Roman"/>
          <w:sz w:val="24"/>
          <w:szCs w:val="24"/>
          <w:lang w:val="pt-BR"/>
        </w:rPr>
        <w:t xml:space="preserve">: contribuições à taxonomia e filogenia. Acta </w:t>
      </w:r>
      <w:proofErr w:type="spellStart"/>
      <w:r w:rsidRPr="00CD2201">
        <w:rPr>
          <w:rFonts w:ascii="Times New Roman" w:hAnsi="Times New Roman"/>
          <w:sz w:val="24"/>
          <w:szCs w:val="24"/>
          <w:lang w:val="pt-BR"/>
        </w:rPr>
        <w:t>Botanica</w:t>
      </w:r>
      <w:proofErr w:type="spellEnd"/>
      <w:r w:rsidRPr="00CD2201">
        <w:rPr>
          <w:rFonts w:ascii="Times New Roman" w:hAnsi="Times New Roman"/>
          <w:sz w:val="24"/>
          <w:szCs w:val="24"/>
          <w:lang w:val="pt-BR"/>
        </w:rPr>
        <w:t xml:space="preserve"> </w:t>
      </w:r>
      <w:proofErr w:type="spellStart"/>
      <w:r w:rsidRPr="00CD2201">
        <w:rPr>
          <w:rFonts w:ascii="Times New Roman" w:hAnsi="Times New Roman"/>
          <w:sz w:val="24"/>
          <w:szCs w:val="24"/>
          <w:lang w:val="pt-BR"/>
        </w:rPr>
        <w:t>Brasilica</w:t>
      </w:r>
      <w:proofErr w:type="spellEnd"/>
      <w:r w:rsidRPr="00CD2201">
        <w:rPr>
          <w:rFonts w:ascii="Times New Roman" w:hAnsi="Times New Roman"/>
          <w:sz w:val="24"/>
          <w:szCs w:val="24"/>
          <w:lang w:val="pt-BR"/>
        </w:rPr>
        <w:t xml:space="preserve">, São Paulo, v. 23, n. 1, p. 1-16, jun./2008. Disponível </w:t>
      </w:r>
      <w:r w:rsidR="00692C5A" w:rsidRPr="00CD2201">
        <w:rPr>
          <w:rFonts w:ascii="Times New Roman" w:hAnsi="Times New Roman"/>
          <w:sz w:val="24"/>
          <w:szCs w:val="24"/>
          <w:lang w:val="pt-BR"/>
        </w:rPr>
        <w:t>em:</w:t>
      </w:r>
      <w:r w:rsidRPr="00CD2201">
        <w:rPr>
          <w:rFonts w:ascii="Times New Roman" w:hAnsi="Times New Roman"/>
          <w:sz w:val="24"/>
          <w:szCs w:val="24"/>
          <w:lang w:val="pt-BR"/>
        </w:rPr>
        <w:t xml:space="preserve"> </w:t>
      </w:r>
      <w:r w:rsidRPr="00692C5A">
        <w:rPr>
          <w:rFonts w:ascii="Times New Roman" w:hAnsi="Times New Roman"/>
          <w:sz w:val="24"/>
          <w:szCs w:val="24"/>
          <w:lang w:val="pt-BR"/>
        </w:rPr>
        <w:t>Acesso em: 21 fev. 2020.</w:t>
      </w:r>
    </w:p>
    <w:p w14:paraId="4075850B" w14:textId="1EB32CB8" w:rsidR="00D9104A" w:rsidRPr="00692C5A" w:rsidRDefault="00D9104A"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083175">
        <w:rPr>
          <w:rFonts w:ascii="Times New Roman" w:hAnsi="Times New Roman"/>
          <w:noProof/>
          <w:sz w:val="24"/>
          <w:szCs w:val="28"/>
          <w:lang w:val="pt-BR" w:eastAsia="pt-BR"/>
        </w:rPr>
        <w:t xml:space="preserve">FLORA DO BRASIL 2020 em construção. Jardim Botânico do Rio de Janeiro. In: Fabaceae. Disponível em: &lt;http://floradobrasil.jbrj.gov.br/reflora/floradobrasil/FB78672&gt;. </w:t>
      </w:r>
      <w:r w:rsidRPr="00692C5A">
        <w:rPr>
          <w:rFonts w:ascii="Times New Roman" w:hAnsi="Times New Roman"/>
          <w:noProof/>
          <w:sz w:val="24"/>
          <w:szCs w:val="28"/>
          <w:lang w:eastAsia="pt-BR"/>
        </w:rPr>
        <w:t>Consultado em: 18 fev. 2020.</w:t>
      </w:r>
    </w:p>
    <w:p w14:paraId="5AC75F3E" w14:textId="5E1E42FC" w:rsidR="00D9104A" w:rsidRDefault="00D9104A"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val="pt-BR" w:eastAsia="pt-BR"/>
        </w:rPr>
      </w:pPr>
      <w:r w:rsidRPr="00083175">
        <w:rPr>
          <w:rFonts w:ascii="Times New Roman" w:hAnsi="Times New Roman"/>
          <w:noProof/>
          <w:sz w:val="24"/>
          <w:szCs w:val="28"/>
          <w:lang w:eastAsia="pt-BR"/>
        </w:rPr>
        <w:t xml:space="preserve">FRANKLIN, G. L. Preparation of thin sections of synthetic resins and wood-resin composites, </w:t>
      </w:r>
      <w:r w:rsidRPr="00083175">
        <w:rPr>
          <w:rFonts w:ascii="Times New Roman" w:hAnsi="Times New Roman"/>
          <w:noProof/>
          <w:sz w:val="24"/>
          <w:szCs w:val="28"/>
          <w:lang w:eastAsia="pt-BR"/>
        </w:rPr>
        <w:lastRenderedPageBreak/>
        <w:t xml:space="preserve">and a new macerating method for wood. </w:t>
      </w:r>
      <w:r w:rsidRPr="00083175">
        <w:rPr>
          <w:rFonts w:ascii="Times New Roman" w:hAnsi="Times New Roman"/>
          <w:b/>
          <w:bCs/>
          <w:noProof/>
          <w:sz w:val="24"/>
          <w:szCs w:val="28"/>
          <w:lang w:val="pt-BR" w:eastAsia="pt-BR"/>
        </w:rPr>
        <w:t>Nature</w:t>
      </w:r>
      <w:r w:rsidRPr="00083175">
        <w:rPr>
          <w:rFonts w:ascii="Times New Roman" w:hAnsi="Times New Roman"/>
          <w:noProof/>
          <w:sz w:val="24"/>
          <w:szCs w:val="28"/>
          <w:lang w:val="pt-BR" w:eastAsia="pt-BR"/>
        </w:rPr>
        <w:t>, v. 1 55, p. 51, 1945.</w:t>
      </w:r>
    </w:p>
    <w:p w14:paraId="49FCB25C" w14:textId="1CBED28B" w:rsidR="003C3671" w:rsidRPr="00692C5A" w:rsidRDefault="003C3671"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083175">
        <w:rPr>
          <w:rFonts w:ascii="Times New Roman" w:hAnsi="Times New Roman"/>
          <w:noProof/>
          <w:sz w:val="24"/>
          <w:szCs w:val="28"/>
          <w:lang w:val="pt-BR" w:eastAsia="pt-BR"/>
        </w:rPr>
        <w:t xml:space="preserve">KRAUS, J.; ARDUIN, M. Manual básico de métodos em morfologia vegetal. </w:t>
      </w:r>
      <w:r w:rsidRPr="00692C5A">
        <w:rPr>
          <w:rFonts w:ascii="Times New Roman" w:hAnsi="Times New Roman"/>
          <w:noProof/>
          <w:sz w:val="24"/>
          <w:szCs w:val="28"/>
          <w:lang w:eastAsia="pt-BR"/>
        </w:rPr>
        <w:t>Rio de Janeiro: Edur, Seropédia, 1997. 96 p.</w:t>
      </w:r>
    </w:p>
    <w:p w14:paraId="280B5051" w14:textId="21BF4FDE" w:rsidR="00D9104A" w:rsidRDefault="00D9104A"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val="pt-BR" w:eastAsia="pt-BR"/>
        </w:rPr>
      </w:pPr>
      <w:r w:rsidRPr="00083175">
        <w:rPr>
          <w:rFonts w:ascii="Times New Roman" w:hAnsi="Times New Roman"/>
          <w:noProof/>
          <w:sz w:val="24"/>
          <w:szCs w:val="28"/>
          <w:lang w:eastAsia="pt-BR"/>
        </w:rPr>
        <w:t xml:space="preserve">LPWG – The Legume Phulogeny Working Group. A new subfamily classification of the Leguminosae based on a taxonomically comprehensive phylogeny. </w:t>
      </w:r>
      <w:r w:rsidRPr="00083175">
        <w:rPr>
          <w:rFonts w:ascii="Times New Roman" w:hAnsi="Times New Roman"/>
          <w:b/>
          <w:bCs/>
          <w:noProof/>
          <w:sz w:val="24"/>
          <w:szCs w:val="28"/>
          <w:lang w:val="pt-BR" w:eastAsia="pt-BR"/>
        </w:rPr>
        <w:t>Taxon</w:t>
      </w:r>
      <w:r w:rsidRPr="00083175">
        <w:rPr>
          <w:rFonts w:ascii="Times New Roman" w:hAnsi="Times New Roman"/>
          <w:noProof/>
          <w:sz w:val="24"/>
          <w:szCs w:val="28"/>
          <w:lang w:val="pt-BR" w:eastAsia="pt-BR"/>
        </w:rPr>
        <w:t>, v. 66. 1, p. 44-77, 2020.</w:t>
      </w:r>
    </w:p>
    <w:p w14:paraId="7BD657C8" w14:textId="4CA13B61" w:rsidR="00D9104A" w:rsidRPr="00692C5A" w:rsidRDefault="00D9104A"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083175">
        <w:rPr>
          <w:rFonts w:ascii="Times New Roman" w:hAnsi="Times New Roman"/>
          <w:noProof/>
          <w:sz w:val="24"/>
          <w:szCs w:val="28"/>
          <w:lang w:val="pt-BR" w:eastAsia="pt-BR"/>
        </w:rPr>
        <w:t xml:space="preserve">MASULLO, Y. A. G.; MAGALHÃES, S. G. A. Análise Socioeconômica e Ambiental das Unidades de Conservação do Estado do Maranhão, Relatório de Pesquisa. Fundação de Amparo à Pesquisa e ao Desenvolvimento Científico' e•Tecnológico do Maranhão — FAPEMA. </w:t>
      </w:r>
      <w:r w:rsidRPr="00692C5A">
        <w:rPr>
          <w:rFonts w:ascii="Times New Roman" w:hAnsi="Times New Roman"/>
          <w:noProof/>
          <w:sz w:val="24"/>
          <w:szCs w:val="28"/>
          <w:lang w:eastAsia="pt-BR"/>
        </w:rPr>
        <w:t>São Luís. 2017.</w:t>
      </w:r>
    </w:p>
    <w:p w14:paraId="4016F5B1" w14:textId="77777777" w:rsidR="003C3671" w:rsidRPr="003C3671" w:rsidRDefault="003C3671" w:rsidP="003C3671">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083175">
        <w:rPr>
          <w:rFonts w:ascii="Times New Roman" w:hAnsi="Times New Roman"/>
          <w:noProof/>
          <w:sz w:val="24"/>
          <w:szCs w:val="28"/>
          <w:lang w:eastAsia="pt-BR"/>
        </w:rPr>
        <w:t xml:space="preserve">METCALFE, C.R.; CHALK, L. </w:t>
      </w:r>
      <w:r w:rsidRPr="00083175">
        <w:rPr>
          <w:rFonts w:ascii="Times New Roman" w:hAnsi="Times New Roman"/>
          <w:b/>
          <w:bCs/>
          <w:noProof/>
          <w:sz w:val="24"/>
          <w:szCs w:val="28"/>
          <w:lang w:eastAsia="pt-BR"/>
        </w:rPr>
        <w:t>Anatomy dicotyledons</w:t>
      </w:r>
      <w:r w:rsidRPr="00083175">
        <w:rPr>
          <w:rFonts w:ascii="Times New Roman" w:hAnsi="Times New Roman"/>
          <w:noProof/>
          <w:sz w:val="24"/>
          <w:szCs w:val="28"/>
          <w:lang w:eastAsia="pt-BR"/>
        </w:rPr>
        <w:t>. v.ll. Oxford: Oxford University Press, 1983, 297 p.</w:t>
      </w:r>
    </w:p>
    <w:p w14:paraId="606FE7A8" w14:textId="575437EC" w:rsidR="003C3671" w:rsidRPr="00CD2201" w:rsidRDefault="00CD2201"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val="pt-BR" w:eastAsia="pt-BR"/>
        </w:rPr>
      </w:pPr>
      <w:r w:rsidRPr="00CD2201">
        <w:rPr>
          <w:rFonts w:ascii="Times New Roman" w:hAnsi="Times New Roman"/>
          <w:noProof/>
          <w:sz w:val="24"/>
          <w:szCs w:val="28"/>
          <w:lang w:val="pt-BR" w:eastAsia="pt-BR"/>
        </w:rPr>
        <w:t>ROMITELLI, I.* &amp; MARTINS, M.B.G. Comparação da Morfologia e da anatomia foliar entre as espécies Malva sylvestris (gerânio-aromático), Pelargonium graveolens (falsamalva) e Pelargonium odoratissimum (gerânio-de-cheiro). Revista Brasileira de Plantas Medicinais, São Paulo, v. 15, n. 1, p. 1-7, mar./2013</w:t>
      </w:r>
    </w:p>
    <w:p w14:paraId="38C957A0" w14:textId="18099E84" w:rsidR="003C3671" w:rsidRPr="00692C5A" w:rsidRDefault="003C3671"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val="pt-BR" w:eastAsia="pt-BR"/>
        </w:rPr>
      </w:pPr>
      <w:r w:rsidRPr="00083175">
        <w:rPr>
          <w:rFonts w:ascii="Times New Roman" w:hAnsi="Times New Roman"/>
          <w:noProof/>
          <w:sz w:val="24"/>
          <w:szCs w:val="28"/>
          <w:lang w:eastAsia="pt-BR"/>
        </w:rPr>
        <w:t xml:space="preserve">THEOBALD, W. L., KRAHULIK, J. L.; ROLLINS, R. C. Trichome description and classification. </w:t>
      </w:r>
      <w:r w:rsidRPr="00083175">
        <w:rPr>
          <w:rFonts w:ascii="Times New Roman" w:hAnsi="Times New Roman"/>
          <w:b/>
          <w:bCs/>
          <w:noProof/>
          <w:sz w:val="24"/>
          <w:szCs w:val="28"/>
          <w:lang w:eastAsia="pt-BR"/>
        </w:rPr>
        <w:t>In</w:t>
      </w:r>
      <w:r w:rsidRPr="00083175">
        <w:rPr>
          <w:rFonts w:ascii="Times New Roman" w:hAnsi="Times New Roman"/>
          <w:noProof/>
          <w:sz w:val="24"/>
          <w:szCs w:val="28"/>
          <w:lang w:eastAsia="pt-BR"/>
        </w:rPr>
        <w:t xml:space="preserve">: METCALFE, C. R.; CHALK, L. (Ed.) Anatomy of the Dicotyledons. </w:t>
      </w:r>
      <w:r w:rsidRPr="00692C5A">
        <w:rPr>
          <w:rFonts w:ascii="Times New Roman" w:hAnsi="Times New Roman"/>
          <w:noProof/>
          <w:sz w:val="24"/>
          <w:szCs w:val="28"/>
          <w:lang w:val="pt-BR" w:eastAsia="pt-BR"/>
        </w:rPr>
        <w:t>2 th ed. Oxford: Clarendon Press, v.1, 1979, p. 40- 53.</w:t>
      </w:r>
    </w:p>
    <w:p w14:paraId="4CD35258" w14:textId="03A1D882" w:rsidR="00D9104A" w:rsidRDefault="00D9104A" w:rsidP="00D9104A">
      <w:pPr>
        <w:autoSpaceDE w:val="0"/>
        <w:autoSpaceDN w:val="0"/>
        <w:adjustRightInd w:val="0"/>
        <w:spacing w:before="100" w:beforeAutospacing="1" w:after="100" w:afterAutospacing="1" w:line="240" w:lineRule="auto"/>
        <w:jc w:val="both"/>
        <w:rPr>
          <w:rFonts w:ascii="Times New Roman" w:eastAsia="Arial" w:hAnsi="Times New Roman"/>
          <w:noProof/>
          <w:sz w:val="24"/>
          <w:szCs w:val="28"/>
          <w:lang w:val="pt-BR" w:eastAsia="pt-BR"/>
        </w:rPr>
      </w:pPr>
      <w:r w:rsidRPr="00083175">
        <w:rPr>
          <w:rFonts w:ascii="Times New Roman" w:eastAsia="Arial" w:hAnsi="Times New Roman"/>
          <w:noProof/>
          <w:sz w:val="24"/>
          <w:szCs w:val="28"/>
          <w:lang w:val="pt-BR" w:eastAsia="pt-BR"/>
        </w:rPr>
        <w:t>UNIDADES DE CONSERVAÇÃO. Unidades de Conservação Brasileira (UCB) (2019) - 2° semestre, 2019. Disponível em: https://dados.gov.br/dataset/unidadesdeconservacao. Acesso em: 30 jun. 2021.</w:t>
      </w:r>
    </w:p>
    <w:p w14:paraId="39A1CB4C" w14:textId="77777777" w:rsidR="003C3671" w:rsidRPr="00083175" w:rsidRDefault="003C3671" w:rsidP="003C3671">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083175">
        <w:rPr>
          <w:rFonts w:ascii="Times New Roman" w:hAnsi="Times New Roman"/>
          <w:noProof/>
          <w:sz w:val="24"/>
          <w:szCs w:val="28"/>
          <w:lang w:eastAsia="pt-BR"/>
        </w:rPr>
        <w:t xml:space="preserve">WILKINSON, HP. The plant surface (mainly leaf). </w:t>
      </w:r>
      <w:r w:rsidRPr="00083175">
        <w:rPr>
          <w:rFonts w:ascii="Times New Roman" w:hAnsi="Times New Roman"/>
          <w:b/>
          <w:bCs/>
          <w:noProof/>
          <w:sz w:val="24"/>
          <w:szCs w:val="28"/>
          <w:lang w:eastAsia="pt-BR"/>
        </w:rPr>
        <w:t>In</w:t>
      </w:r>
      <w:r w:rsidRPr="00083175">
        <w:rPr>
          <w:rFonts w:ascii="Times New Roman" w:hAnsi="Times New Roman"/>
          <w:noProof/>
          <w:sz w:val="24"/>
          <w:szCs w:val="28"/>
          <w:lang w:eastAsia="pt-BR"/>
        </w:rPr>
        <w:t>: Metcalfe, C. R.; Chalk, L. (eds.). Anatomy ofthe dicotyledons. 2nd ed. Oxford: Claredon Press, 1979, p. 97-162.</w:t>
      </w:r>
    </w:p>
    <w:p w14:paraId="72FB9C22" w14:textId="19F21A46" w:rsidR="003C3671" w:rsidRPr="00CD2201" w:rsidRDefault="00CD2201" w:rsidP="00D9104A">
      <w:pPr>
        <w:autoSpaceDE w:val="0"/>
        <w:autoSpaceDN w:val="0"/>
        <w:adjustRightInd w:val="0"/>
        <w:spacing w:before="100" w:beforeAutospacing="1" w:after="100" w:afterAutospacing="1" w:line="240" w:lineRule="auto"/>
        <w:jc w:val="both"/>
        <w:rPr>
          <w:rFonts w:ascii="Times New Roman" w:hAnsi="Times New Roman"/>
          <w:noProof/>
          <w:sz w:val="24"/>
          <w:szCs w:val="28"/>
          <w:lang w:eastAsia="pt-BR"/>
        </w:rPr>
      </w:pPr>
      <w:r w:rsidRPr="00CD2201">
        <w:rPr>
          <w:rFonts w:ascii="Times New Roman" w:hAnsi="Times New Roman"/>
          <w:noProof/>
          <w:sz w:val="24"/>
          <w:szCs w:val="28"/>
          <w:lang w:eastAsia="pt-BR"/>
        </w:rPr>
        <w:t>ZINDLER-FRANK. E. Calcium oxalate crystals in legumes. In: STIRTON, C.H. (Ed.). Advances in Legume Systematics. Part 3. Kew: Royal Botanic Gardens, 1987, p.279-311</w:t>
      </w:r>
    </w:p>
    <w:sectPr w:rsidR="003C3671" w:rsidRPr="00CD2201" w:rsidSect="00C44076">
      <w:headerReference w:type="default" r:id="rId13"/>
      <w:footerReference w:type="default" r:id="rId14"/>
      <w:footnotePr>
        <w:pos w:val="beneathText"/>
      </w:footnotePr>
      <w:type w:val="continuous"/>
      <w:pgSz w:w="11920" w:h="16840"/>
      <w:pgMar w:top="1701" w:right="1134" w:bottom="1134" w:left="1701" w:header="454" w:footer="454" w:gutter="0"/>
      <w:cols w:space="709"/>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CCBA6" w14:textId="77777777" w:rsidR="00DF34E2" w:rsidRDefault="00DF34E2">
      <w:pPr>
        <w:spacing w:after="0" w:line="240" w:lineRule="auto"/>
      </w:pPr>
      <w:r>
        <w:separator/>
      </w:r>
    </w:p>
  </w:endnote>
  <w:endnote w:type="continuationSeparator" w:id="0">
    <w:p w14:paraId="08550DC7" w14:textId="77777777" w:rsidR="00DF34E2" w:rsidRDefault="00DF34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116B2" w14:textId="77777777" w:rsidR="00D33AEC" w:rsidRDefault="00D33AEC">
    <w:pPr>
      <w:pStyle w:val="Rodap"/>
      <w:jc w:val="right"/>
    </w:pPr>
    <w:r>
      <w:fldChar w:fldCharType="begin"/>
    </w:r>
    <w:r>
      <w:instrText>PAGE   \* MERGEFORMAT</w:instrText>
    </w:r>
    <w:r>
      <w:fldChar w:fldCharType="separate"/>
    </w:r>
    <w:r w:rsidR="00D94743" w:rsidRPr="00D94743">
      <w:rPr>
        <w:noProof/>
        <w:lang w:val="pt-BR"/>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3E179" w14:textId="77777777" w:rsidR="00DF34E2" w:rsidRDefault="00DF34E2">
      <w:pPr>
        <w:spacing w:after="0" w:line="240" w:lineRule="auto"/>
      </w:pPr>
      <w:r>
        <w:separator/>
      </w:r>
    </w:p>
  </w:footnote>
  <w:footnote w:type="continuationSeparator" w:id="0">
    <w:p w14:paraId="0EFD20F6" w14:textId="77777777" w:rsidR="00DF34E2" w:rsidRDefault="00DF34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078B9" w14:textId="77777777" w:rsidR="006D1D5A" w:rsidRPr="00B519E4" w:rsidRDefault="006D1D5A" w:rsidP="00801B8F">
    <w:pPr>
      <w:spacing w:after="0" w:line="224" w:lineRule="exact"/>
      <w:ind w:left="20" w:right="-50"/>
      <w:jc w:val="center"/>
      <w:rPr>
        <w:rFonts w:ascii="Times New Roman" w:eastAsia="Times New Roman" w:hAnsi="Times New Roman"/>
        <w:color w:val="548DD4"/>
        <w:sz w:val="20"/>
        <w:szCs w:val="20"/>
        <w:lang w:val="pt-B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A40FCC"/>
    <w:multiLevelType w:val="hybridMultilevel"/>
    <w:tmpl w:val="55CA8A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6BD"/>
    <w:rsid w:val="0000296B"/>
    <w:rsid w:val="00006DC6"/>
    <w:rsid w:val="00016266"/>
    <w:rsid w:val="00033D1E"/>
    <w:rsid w:val="00036BAA"/>
    <w:rsid w:val="0004639C"/>
    <w:rsid w:val="00051045"/>
    <w:rsid w:val="000530D0"/>
    <w:rsid w:val="000770BA"/>
    <w:rsid w:val="00081F26"/>
    <w:rsid w:val="00086533"/>
    <w:rsid w:val="000C30EE"/>
    <w:rsid w:val="000C6EF6"/>
    <w:rsid w:val="000D58A5"/>
    <w:rsid w:val="000E1B20"/>
    <w:rsid w:val="0011379A"/>
    <w:rsid w:val="00120704"/>
    <w:rsid w:val="00135923"/>
    <w:rsid w:val="00186B78"/>
    <w:rsid w:val="001A10F0"/>
    <w:rsid w:val="001B4870"/>
    <w:rsid w:val="001B4AD2"/>
    <w:rsid w:val="001B70FB"/>
    <w:rsid w:val="001D4CF2"/>
    <w:rsid w:val="002126D6"/>
    <w:rsid w:val="00212F2A"/>
    <w:rsid w:val="0022085B"/>
    <w:rsid w:val="00221D4F"/>
    <w:rsid w:val="0022768D"/>
    <w:rsid w:val="00251464"/>
    <w:rsid w:val="002660CC"/>
    <w:rsid w:val="00273D03"/>
    <w:rsid w:val="0028731F"/>
    <w:rsid w:val="00294B59"/>
    <w:rsid w:val="00295B0B"/>
    <w:rsid w:val="002B4AB4"/>
    <w:rsid w:val="002F122A"/>
    <w:rsid w:val="002F6725"/>
    <w:rsid w:val="003157D6"/>
    <w:rsid w:val="0033715D"/>
    <w:rsid w:val="00344366"/>
    <w:rsid w:val="0034444F"/>
    <w:rsid w:val="00355CC6"/>
    <w:rsid w:val="00366138"/>
    <w:rsid w:val="00375A15"/>
    <w:rsid w:val="0038403D"/>
    <w:rsid w:val="00386C12"/>
    <w:rsid w:val="003940E6"/>
    <w:rsid w:val="003B0154"/>
    <w:rsid w:val="003C3671"/>
    <w:rsid w:val="003C5AF9"/>
    <w:rsid w:val="003F1E04"/>
    <w:rsid w:val="0041088E"/>
    <w:rsid w:val="00413A06"/>
    <w:rsid w:val="00413CAB"/>
    <w:rsid w:val="00421B5F"/>
    <w:rsid w:val="004448C4"/>
    <w:rsid w:val="00474488"/>
    <w:rsid w:val="004E2616"/>
    <w:rsid w:val="004F14F1"/>
    <w:rsid w:val="00506A07"/>
    <w:rsid w:val="00513D42"/>
    <w:rsid w:val="00515F90"/>
    <w:rsid w:val="00535552"/>
    <w:rsid w:val="00545F33"/>
    <w:rsid w:val="0055030C"/>
    <w:rsid w:val="0055505B"/>
    <w:rsid w:val="00571FC1"/>
    <w:rsid w:val="00590D95"/>
    <w:rsid w:val="00593D37"/>
    <w:rsid w:val="005A015C"/>
    <w:rsid w:val="005B0BC1"/>
    <w:rsid w:val="005C5DC7"/>
    <w:rsid w:val="00613FDB"/>
    <w:rsid w:val="006164DF"/>
    <w:rsid w:val="006623BC"/>
    <w:rsid w:val="00681C30"/>
    <w:rsid w:val="00685CD4"/>
    <w:rsid w:val="00692372"/>
    <w:rsid w:val="00692C5A"/>
    <w:rsid w:val="00695C76"/>
    <w:rsid w:val="006A264F"/>
    <w:rsid w:val="006B2820"/>
    <w:rsid w:val="006B702C"/>
    <w:rsid w:val="006C2A63"/>
    <w:rsid w:val="006D1D5A"/>
    <w:rsid w:val="006D2D87"/>
    <w:rsid w:val="006D41BF"/>
    <w:rsid w:val="006E793D"/>
    <w:rsid w:val="00711EF6"/>
    <w:rsid w:val="00715938"/>
    <w:rsid w:val="00737828"/>
    <w:rsid w:val="00744A83"/>
    <w:rsid w:val="007534F7"/>
    <w:rsid w:val="007552E5"/>
    <w:rsid w:val="007560A9"/>
    <w:rsid w:val="0077083B"/>
    <w:rsid w:val="00777854"/>
    <w:rsid w:val="00780D26"/>
    <w:rsid w:val="00785DB2"/>
    <w:rsid w:val="007A0034"/>
    <w:rsid w:val="007A0127"/>
    <w:rsid w:val="007D6668"/>
    <w:rsid w:val="007E7B12"/>
    <w:rsid w:val="00801B8F"/>
    <w:rsid w:val="00804EB6"/>
    <w:rsid w:val="00810A3D"/>
    <w:rsid w:val="008243C9"/>
    <w:rsid w:val="00827E3B"/>
    <w:rsid w:val="0083121F"/>
    <w:rsid w:val="00837586"/>
    <w:rsid w:val="00846506"/>
    <w:rsid w:val="00847B30"/>
    <w:rsid w:val="00853643"/>
    <w:rsid w:val="008A082A"/>
    <w:rsid w:val="008A7E07"/>
    <w:rsid w:val="008B0101"/>
    <w:rsid w:val="008B2E1C"/>
    <w:rsid w:val="008B6F6C"/>
    <w:rsid w:val="008D0310"/>
    <w:rsid w:val="008D0B06"/>
    <w:rsid w:val="008D598A"/>
    <w:rsid w:val="008E60D3"/>
    <w:rsid w:val="0091174A"/>
    <w:rsid w:val="00917D12"/>
    <w:rsid w:val="009230BF"/>
    <w:rsid w:val="00925764"/>
    <w:rsid w:val="00934998"/>
    <w:rsid w:val="00974BB4"/>
    <w:rsid w:val="00976617"/>
    <w:rsid w:val="009A0BC5"/>
    <w:rsid w:val="009A1981"/>
    <w:rsid w:val="009A203B"/>
    <w:rsid w:val="009A5CB0"/>
    <w:rsid w:val="009A6C89"/>
    <w:rsid w:val="009C3A3F"/>
    <w:rsid w:val="009C4AD3"/>
    <w:rsid w:val="009D426A"/>
    <w:rsid w:val="009E022D"/>
    <w:rsid w:val="009E12FA"/>
    <w:rsid w:val="009F587C"/>
    <w:rsid w:val="00A052C0"/>
    <w:rsid w:val="00A17BAE"/>
    <w:rsid w:val="00A215E5"/>
    <w:rsid w:val="00A221C6"/>
    <w:rsid w:val="00A66D5E"/>
    <w:rsid w:val="00A95618"/>
    <w:rsid w:val="00A9622F"/>
    <w:rsid w:val="00AA2B68"/>
    <w:rsid w:val="00AC35D9"/>
    <w:rsid w:val="00AD1A62"/>
    <w:rsid w:val="00AE2A0F"/>
    <w:rsid w:val="00B10089"/>
    <w:rsid w:val="00B14977"/>
    <w:rsid w:val="00B24AE2"/>
    <w:rsid w:val="00B25842"/>
    <w:rsid w:val="00B4415C"/>
    <w:rsid w:val="00B519E4"/>
    <w:rsid w:val="00B611E5"/>
    <w:rsid w:val="00B662ED"/>
    <w:rsid w:val="00BB34A6"/>
    <w:rsid w:val="00BF3110"/>
    <w:rsid w:val="00BF3713"/>
    <w:rsid w:val="00C0435A"/>
    <w:rsid w:val="00C17355"/>
    <w:rsid w:val="00C22440"/>
    <w:rsid w:val="00C26BA1"/>
    <w:rsid w:val="00C36E1B"/>
    <w:rsid w:val="00C44076"/>
    <w:rsid w:val="00C542B5"/>
    <w:rsid w:val="00C71D1B"/>
    <w:rsid w:val="00C73199"/>
    <w:rsid w:val="00C7575C"/>
    <w:rsid w:val="00CB2AEF"/>
    <w:rsid w:val="00CD2201"/>
    <w:rsid w:val="00D01632"/>
    <w:rsid w:val="00D01C2F"/>
    <w:rsid w:val="00D25A70"/>
    <w:rsid w:val="00D33AEC"/>
    <w:rsid w:val="00D4495A"/>
    <w:rsid w:val="00D516CB"/>
    <w:rsid w:val="00D9104A"/>
    <w:rsid w:val="00D94743"/>
    <w:rsid w:val="00D95250"/>
    <w:rsid w:val="00DA4CBA"/>
    <w:rsid w:val="00DB3459"/>
    <w:rsid w:val="00DB76B1"/>
    <w:rsid w:val="00DD1E8B"/>
    <w:rsid w:val="00DD5078"/>
    <w:rsid w:val="00DF0934"/>
    <w:rsid w:val="00DF34E2"/>
    <w:rsid w:val="00DF503C"/>
    <w:rsid w:val="00E01A94"/>
    <w:rsid w:val="00E1761B"/>
    <w:rsid w:val="00E42FBA"/>
    <w:rsid w:val="00E54D65"/>
    <w:rsid w:val="00E70AD6"/>
    <w:rsid w:val="00E736D0"/>
    <w:rsid w:val="00E85D01"/>
    <w:rsid w:val="00EA5795"/>
    <w:rsid w:val="00EB451F"/>
    <w:rsid w:val="00ED0371"/>
    <w:rsid w:val="00ED1956"/>
    <w:rsid w:val="00ED400F"/>
    <w:rsid w:val="00ED76BD"/>
    <w:rsid w:val="00EE5068"/>
    <w:rsid w:val="00EE5B13"/>
    <w:rsid w:val="00EF673A"/>
    <w:rsid w:val="00F01354"/>
    <w:rsid w:val="00F10F1B"/>
    <w:rsid w:val="00F33CE9"/>
    <w:rsid w:val="00F3439F"/>
    <w:rsid w:val="00F56393"/>
    <w:rsid w:val="00F65297"/>
    <w:rsid w:val="00F83339"/>
    <w:rsid w:val="00F96E9C"/>
    <w:rsid w:val="00FA02CC"/>
    <w:rsid w:val="00FA06F3"/>
    <w:rsid w:val="00FB377C"/>
    <w:rsid w:val="00FB5286"/>
    <w:rsid w:val="00FF4EB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124D66"/>
  <w15:docId w15:val="{228755BF-C359-4E64-9717-A1C27F99D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02B"/>
    <w:pPr>
      <w:widowControl w:val="0"/>
      <w:spacing w:after="200" w:line="276" w:lineRule="auto"/>
    </w:pPr>
    <w:rPr>
      <w:sz w:val="22"/>
      <w:szCs w:val="22"/>
      <w:lang w:val="en-US"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BAuthorName">
    <w:name w:val="BB_Author_Name"/>
    <w:basedOn w:val="Normal"/>
    <w:next w:val="BCAuthorAddress"/>
    <w:rsid w:val="00590D95"/>
    <w:pPr>
      <w:widowControl/>
      <w:overflowPunct w:val="0"/>
      <w:autoSpaceDE w:val="0"/>
      <w:autoSpaceDN w:val="0"/>
      <w:adjustRightInd w:val="0"/>
      <w:spacing w:after="240" w:line="240" w:lineRule="exact"/>
      <w:ind w:right="3024"/>
      <w:textAlignment w:val="baseline"/>
    </w:pPr>
    <w:rPr>
      <w:rFonts w:ascii="Helvetica" w:eastAsia="Times New Roman" w:hAnsi="Helvetica" w:cs="Helvetica"/>
      <w:b/>
      <w:bCs/>
    </w:rPr>
  </w:style>
  <w:style w:type="paragraph" w:customStyle="1" w:styleId="BCAuthorAddress">
    <w:name w:val="BC_Author_Address"/>
    <w:basedOn w:val="Normal"/>
    <w:next w:val="Normal"/>
    <w:rsid w:val="00590D95"/>
    <w:pPr>
      <w:widowControl/>
      <w:overflowPunct w:val="0"/>
      <w:autoSpaceDE w:val="0"/>
      <w:autoSpaceDN w:val="0"/>
      <w:adjustRightInd w:val="0"/>
      <w:spacing w:after="120" w:line="240" w:lineRule="exact"/>
      <w:ind w:right="3024"/>
      <w:textAlignment w:val="baseline"/>
    </w:pPr>
    <w:rPr>
      <w:rFonts w:ascii="Times" w:eastAsia="Times New Roman" w:hAnsi="Times" w:cs="Times"/>
      <w:i/>
      <w:iCs/>
      <w:sz w:val="20"/>
      <w:szCs w:val="20"/>
    </w:rPr>
  </w:style>
  <w:style w:type="paragraph" w:styleId="Cabealho">
    <w:name w:val="header"/>
    <w:basedOn w:val="Normal"/>
    <w:link w:val="CabealhoChar"/>
    <w:uiPriority w:val="99"/>
    <w:unhideWhenUsed/>
    <w:rsid w:val="0013592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35923"/>
  </w:style>
  <w:style w:type="paragraph" w:styleId="Rodap">
    <w:name w:val="footer"/>
    <w:basedOn w:val="Normal"/>
    <w:link w:val="RodapChar"/>
    <w:uiPriority w:val="99"/>
    <w:unhideWhenUsed/>
    <w:rsid w:val="00135923"/>
    <w:pPr>
      <w:tabs>
        <w:tab w:val="center" w:pos="4252"/>
        <w:tab w:val="right" w:pos="8504"/>
      </w:tabs>
      <w:spacing w:after="0" w:line="240" w:lineRule="auto"/>
    </w:pPr>
  </w:style>
  <w:style w:type="character" w:customStyle="1" w:styleId="RodapChar">
    <w:name w:val="Rodapé Char"/>
    <w:basedOn w:val="Fontepargpadro"/>
    <w:link w:val="Rodap"/>
    <w:uiPriority w:val="99"/>
    <w:rsid w:val="00135923"/>
  </w:style>
  <w:style w:type="paragraph" w:customStyle="1" w:styleId="TAMainText">
    <w:name w:val="TA_Main_Text"/>
    <w:basedOn w:val="Normal"/>
    <w:rsid w:val="00135923"/>
    <w:pPr>
      <w:widowControl/>
      <w:overflowPunct w:val="0"/>
      <w:autoSpaceDE w:val="0"/>
      <w:autoSpaceDN w:val="0"/>
      <w:adjustRightInd w:val="0"/>
      <w:spacing w:after="0" w:line="240" w:lineRule="exact"/>
      <w:ind w:firstLine="202"/>
      <w:jc w:val="both"/>
      <w:textAlignment w:val="baseline"/>
    </w:pPr>
    <w:rPr>
      <w:rFonts w:ascii="Times" w:eastAsia="Times New Roman" w:hAnsi="Times" w:cs="Times"/>
      <w:sz w:val="20"/>
      <w:szCs w:val="20"/>
    </w:rPr>
  </w:style>
  <w:style w:type="paragraph" w:styleId="Textodebalo">
    <w:name w:val="Balloon Text"/>
    <w:basedOn w:val="Normal"/>
    <w:link w:val="TextodebaloChar"/>
    <w:uiPriority w:val="99"/>
    <w:semiHidden/>
    <w:unhideWhenUsed/>
    <w:rsid w:val="00C36E1B"/>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C36E1B"/>
    <w:rPr>
      <w:rFonts w:ascii="Tahoma" w:hAnsi="Tahoma" w:cs="Tahoma"/>
      <w:sz w:val="16"/>
      <w:szCs w:val="16"/>
    </w:rPr>
  </w:style>
  <w:style w:type="character" w:styleId="Refdecomentrio">
    <w:name w:val="annotation reference"/>
    <w:uiPriority w:val="99"/>
    <w:semiHidden/>
    <w:unhideWhenUsed/>
    <w:rsid w:val="0041088E"/>
    <w:rPr>
      <w:sz w:val="16"/>
      <w:szCs w:val="16"/>
    </w:rPr>
  </w:style>
  <w:style w:type="paragraph" w:styleId="Textodecomentrio">
    <w:name w:val="annotation text"/>
    <w:basedOn w:val="Normal"/>
    <w:link w:val="TextodecomentrioChar"/>
    <w:uiPriority w:val="99"/>
    <w:semiHidden/>
    <w:unhideWhenUsed/>
    <w:rsid w:val="0041088E"/>
    <w:pPr>
      <w:spacing w:line="240" w:lineRule="auto"/>
    </w:pPr>
    <w:rPr>
      <w:sz w:val="20"/>
      <w:szCs w:val="20"/>
    </w:rPr>
  </w:style>
  <w:style w:type="character" w:customStyle="1" w:styleId="TextodecomentrioChar">
    <w:name w:val="Texto de comentário Char"/>
    <w:link w:val="Textodecomentrio"/>
    <w:uiPriority w:val="99"/>
    <w:semiHidden/>
    <w:rsid w:val="0041088E"/>
    <w:rPr>
      <w:sz w:val="20"/>
      <w:szCs w:val="20"/>
    </w:rPr>
  </w:style>
  <w:style w:type="paragraph" w:styleId="Assuntodocomentrio">
    <w:name w:val="annotation subject"/>
    <w:basedOn w:val="Textodecomentrio"/>
    <w:next w:val="Textodecomentrio"/>
    <w:link w:val="AssuntodocomentrioChar"/>
    <w:uiPriority w:val="99"/>
    <w:semiHidden/>
    <w:unhideWhenUsed/>
    <w:rsid w:val="0041088E"/>
    <w:rPr>
      <w:b/>
      <w:bCs/>
    </w:rPr>
  </w:style>
  <w:style w:type="character" w:customStyle="1" w:styleId="AssuntodocomentrioChar">
    <w:name w:val="Assunto do comentário Char"/>
    <w:link w:val="Assuntodocomentrio"/>
    <w:uiPriority w:val="99"/>
    <w:semiHidden/>
    <w:rsid w:val="0041088E"/>
    <w:rPr>
      <w:b/>
      <w:bCs/>
      <w:sz w:val="20"/>
      <w:szCs w:val="20"/>
    </w:rPr>
  </w:style>
  <w:style w:type="paragraph" w:styleId="PargrafodaLista">
    <w:name w:val="List Paragraph"/>
    <w:basedOn w:val="Normal"/>
    <w:uiPriority w:val="34"/>
    <w:qFormat/>
    <w:rsid w:val="00ED400F"/>
    <w:pPr>
      <w:ind w:left="720"/>
      <w:contextualSpacing/>
    </w:pPr>
  </w:style>
  <w:style w:type="paragraph" w:styleId="Textodenotaderodap">
    <w:name w:val="footnote text"/>
    <w:basedOn w:val="Normal"/>
    <w:link w:val="TextodenotaderodapChar"/>
    <w:uiPriority w:val="99"/>
    <w:semiHidden/>
    <w:unhideWhenUsed/>
    <w:rsid w:val="00515F90"/>
    <w:pPr>
      <w:spacing w:after="0" w:line="240" w:lineRule="auto"/>
    </w:pPr>
    <w:rPr>
      <w:sz w:val="20"/>
      <w:szCs w:val="20"/>
    </w:rPr>
  </w:style>
  <w:style w:type="character" w:customStyle="1" w:styleId="TextodenotaderodapChar">
    <w:name w:val="Texto de nota de rodapé Char"/>
    <w:link w:val="Textodenotaderodap"/>
    <w:uiPriority w:val="99"/>
    <w:semiHidden/>
    <w:rsid w:val="00515F90"/>
    <w:rPr>
      <w:sz w:val="20"/>
      <w:szCs w:val="20"/>
    </w:rPr>
  </w:style>
  <w:style w:type="character" w:styleId="Refdenotaderodap">
    <w:name w:val="footnote reference"/>
    <w:uiPriority w:val="99"/>
    <w:semiHidden/>
    <w:unhideWhenUsed/>
    <w:rsid w:val="00515F90"/>
    <w:rPr>
      <w:vertAlign w:val="superscript"/>
    </w:rPr>
  </w:style>
  <w:style w:type="character" w:customStyle="1" w:styleId="key">
    <w:name w:val="key"/>
    <w:basedOn w:val="Fontepargpadro"/>
    <w:rsid w:val="006D1D5A"/>
  </w:style>
  <w:style w:type="character" w:customStyle="1" w:styleId="value">
    <w:name w:val="value"/>
    <w:basedOn w:val="Fontepargpadro"/>
    <w:rsid w:val="006D1D5A"/>
  </w:style>
  <w:style w:type="character" w:styleId="Hyperlink">
    <w:name w:val="Hyperlink"/>
    <w:basedOn w:val="Fontepargpadro"/>
    <w:uiPriority w:val="99"/>
    <w:unhideWhenUsed/>
    <w:rsid w:val="006B702C"/>
    <w:rPr>
      <w:color w:val="0000FF" w:themeColor="hyperlink"/>
      <w:u w:val="single"/>
    </w:rPr>
  </w:style>
  <w:style w:type="character" w:styleId="MenoPendente">
    <w:name w:val="Unresolved Mention"/>
    <w:basedOn w:val="Fontepargpadro"/>
    <w:uiPriority w:val="99"/>
    <w:semiHidden/>
    <w:unhideWhenUsed/>
    <w:rsid w:val="006B70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4864265">
      <w:bodyDiv w:val="1"/>
      <w:marLeft w:val="0"/>
      <w:marRight w:val="0"/>
      <w:marTop w:val="0"/>
      <w:marBottom w:val="0"/>
      <w:divBdr>
        <w:top w:val="none" w:sz="0" w:space="0" w:color="auto"/>
        <w:left w:val="none" w:sz="0" w:space="0" w:color="auto"/>
        <w:bottom w:val="none" w:sz="0" w:space="0" w:color="auto"/>
        <w:right w:val="none" w:sz="0" w:space="0" w:color="auto"/>
      </w:divBdr>
    </w:div>
    <w:div w:id="21209083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luizflimacarvalho@gmail.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niaraporto@uemasul.edu.br" TargetMode="External"/><Relationship Id="rId14" Type="http://schemas.openxmlformats.org/officeDocument/2006/relationships/footer" Target="footer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10678B-6C71-446C-9735-33D433479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1523</Words>
  <Characters>8225</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SBPC Eventos</dc:creator>
  <cp:lastModifiedBy>Luiz Fernando Lima Carvalho</cp:lastModifiedBy>
  <cp:revision>2</cp:revision>
  <cp:lastPrinted>2018-11-26T12:30:00Z</cp:lastPrinted>
  <dcterms:created xsi:type="dcterms:W3CDTF">2022-02-08T15:34:00Z</dcterms:created>
  <dcterms:modified xsi:type="dcterms:W3CDTF">2022-02-08T15:34:00Z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2009-11-24T00:00:00Z</vt:filetime>
  </property>
  <property fmtid="{D5CDD505-2E9C-101B-9397-08002B2CF9AE}" pid="3" name="LastSaved">
    <vt:filetime>2016-10-18T00:00:00Z</vt:filetime>
  </property>
</Properties>
</file>